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p>
    <w:p>
      <w:pPr>
        <w:rPr>
          <w:b/>
          <w:sz w:val="44"/>
          <w:szCs w:val="44"/>
        </w:rPr>
      </w:pPr>
    </w:p>
    <w:p>
      <w:pPr>
        <w:jc w:val="center"/>
        <w:rPr>
          <w:b/>
          <w:sz w:val="44"/>
          <w:szCs w:val="44"/>
        </w:rPr>
      </w:pPr>
      <w:r>
        <w:rPr>
          <w:rFonts w:hint="eastAsia"/>
          <w:b/>
          <w:sz w:val="44"/>
          <w:szCs w:val="44"/>
        </w:rPr>
        <w:t>山西省地方标准</w:t>
      </w:r>
    </w:p>
    <w:p>
      <w:pPr>
        <w:jc w:val="center"/>
        <w:rPr>
          <w:b/>
          <w:sz w:val="44"/>
          <w:szCs w:val="44"/>
        </w:rPr>
      </w:pPr>
      <w:r>
        <w:rPr>
          <w:rFonts w:hint="eastAsia"/>
          <w:b/>
          <w:sz w:val="44"/>
          <w:szCs w:val="44"/>
        </w:rPr>
        <w:t>《设施蔬菜固碳生产技术规程 塑料大棚</w:t>
      </w:r>
      <w:r>
        <w:rPr>
          <w:rFonts w:hint="eastAsia"/>
          <w:b/>
          <w:sz w:val="44"/>
          <w:szCs w:val="44"/>
        </w:rPr>
        <w:br w:type="textWrapping"/>
      </w:r>
      <w:r>
        <w:rPr>
          <w:rFonts w:hint="eastAsia"/>
          <w:b/>
          <w:sz w:val="44"/>
          <w:szCs w:val="44"/>
        </w:rPr>
        <w:t>西葫芦》编制说明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ascii="宋体" w:hAnsi="宋体"/>
          <w:b/>
          <w:kern w:val="22"/>
          <w:sz w:val="32"/>
          <w:szCs w:val="32"/>
        </w:rPr>
      </w:pPr>
      <w:bookmarkStart w:id="0" w:name="_GoBack"/>
      <w:bookmarkEnd w:id="0"/>
    </w:p>
    <w:p>
      <w:pPr>
        <w:spacing w:line="360" w:lineRule="auto"/>
        <w:jc w:val="center"/>
        <w:rPr>
          <w:rFonts w:ascii="宋体" w:hAnsi="宋体"/>
          <w:b/>
          <w:kern w:val="22"/>
          <w:sz w:val="32"/>
          <w:szCs w:val="32"/>
        </w:rPr>
      </w:pPr>
    </w:p>
    <w:p>
      <w:pPr>
        <w:spacing w:line="360" w:lineRule="auto"/>
        <w:jc w:val="center"/>
        <w:rPr>
          <w:rFonts w:ascii="宋体" w:hAnsi="宋体"/>
          <w:b/>
          <w:kern w:val="22"/>
          <w:sz w:val="10"/>
          <w:szCs w:val="10"/>
        </w:rPr>
      </w:pPr>
      <w:r>
        <w:rPr>
          <w:rFonts w:hint="eastAsia" w:ascii="宋体" w:hAnsi="宋体"/>
          <w:b/>
          <w:kern w:val="22"/>
          <w:sz w:val="32"/>
          <w:szCs w:val="32"/>
        </w:rPr>
        <w:t>编制单位：山西农业大学</w:t>
      </w:r>
    </w:p>
    <w:p>
      <w:pPr>
        <w:jc w:val="center"/>
        <w:rPr>
          <w:rFonts w:ascii="宋体" w:hAnsi="宋体"/>
          <w:b/>
          <w:sz w:val="32"/>
          <w:szCs w:val="32"/>
        </w:rPr>
      </w:pPr>
      <w:r>
        <w:rPr>
          <w:rFonts w:hint="eastAsia" w:ascii="宋体" w:hAnsi="宋体"/>
          <w:b/>
          <w:sz w:val="32"/>
          <w:szCs w:val="32"/>
        </w:rPr>
        <w:t xml:space="preserve"> 二〇二四年</w:t>
      </w:r>
      <w:r>
        <w:rPr>
          <w:rFonts w:hint="eastAsia" w:ascii="宋体" w:hAnsi="宋体"/>
          <w:b/>
          <w:sz w:val="32"/>
          <w:szCs w:val="32"/>
          <w:lang w:eastAsia="zh-CN"/>
        </w:rPr>
        <w:t>三</w:t>
      </w:r>
      <w:r>
        <w:rPr>
          <w:rFonts w:hint="eastAsia" w:ascii="宋体" w:hAnsi="宋体"/>
          <w:b/>
          <w:sz w:val="32"/>
          <w:szCs w:val="32"/>
        </w:rPr>
        <w:t>月</w:t>
      </w:r>
    </w:p>
    <w:p>
      <w:pPr>
        <w:rPr>
          <w:rFonts w:ascii="宋体" w:hAnsi="宋体"/>
          <w:b/>
          <w:sz w:val="32"/>
          <w:szCs w:val="32"/>
        </w:rPr>
        <w:sectPr>
          <w:pgSz w:w="11906" w:h="16838"/>
          <w:pgMar w:top="1871" w:right="1701" w:bottom="1701" w:left="1701" w:header="851" w:footer="850" w:gutter="0"/>
          <w:pgNumType w:start="1"/>
          <w:cols w:space="720" w:num="1"/>
          <w:titlePg/>
          <w:docGrid w:type="lines" w:linePitch="312" w:charSpace="0"/>
        </w:sectPr>
      </w:pPr>
    </w:p>
    <w:p>
      <w:pPr>
        <w:spacing w:line="520" w:lineRule="exact"/>
        <w:jc w:val="center"/>
        <w:rPr>
          <w:b/>
          <w:sz w:val="30"/>
          <w:szCs w:val="30"/>
        </w:rPr>
      </w:pPr>
      <w:r>
        <w:rPr>
          <w:rFonts w:hint="eastAsia"/>
          <w:b/>
          <w:sz w:val="30"/>
          <w:szCs w:val="30"/>
        </w:rPr>
        <w:t>山西省地方标准</w:t>
      </w:r>
    </w:p>
    <w:p>
      <w:pPr>
        <w:spacing w:line="520" w:lineRule="exact"/>
        <w:jc w:val="center"/>
        <w:rPr>
          <w:b/>
          <w:sz w:val="30"/>
          <w:szCs w:val="30"/>
        </w:rPr>
      </w:pPr>
      <w:r>
        <w:rPr>
          <w:rFonts w:hint="eastAsia"/>
          <w:b/>
          <w:sz w:val="30"/>
          <w:szCs w:val="30"/>
        </w:rPr>
        <w:t>《设施蔬菜固碳生产技术规程 塑料大棚西葫芦》</w:t>
      </w:r>
    </w:p>
    <w:p>
      <w:pPr>
        <w:spacing w:line="520" w:lineRule="exact"/>
        <w:jc w:val="center"/>
        <w:rPr>
          <w:rFonts w:ascii="宋体" w:hAnsi="宋体"/>
          <w:b/>
          <w:sz w:val="30"/>
          <w:szCs w:val="30"/>
        </w:rPr>
      </w:pPr>
      <w:r>
        <w:rPr>
          <w:rFonts w:hint="eastAsia"/>
          <w:b/>
          <w:sz w:val="30"/>
          <w:szCs w:val="30"/>
        </w:rPr>
        <w:t>编制说明</w:t>
      </w:r>
    </w:p>
    <w:p>
      <w:pPr>
        <w:spacing w:line="520" w:lineRule="exact"/>
        <w:jc w:val="center"/>
        <w:rPr>
          <w:rFonts w:ascii="宋体" w:hAnsi="宋体"/>
          <w:b/>
          <w:sz w:val="30"/>
          <w:szCs w:val="30"/>
        </w:rPr>
      </w:pPr>
    </w:p>
    <w:p>
      <w:pPr>
        <w:spacing w:line="360" w:lineRule="auto"/>
        <w:ind w:firstLine="480" w:firstLineChars="200"/>
        <w:outlineLvl w:val="0"/>
        <w:rPr>
          <w:rFonts w:ascii="黑体" w:eastAsia="黑体"/>
          <w:sz w:val="28"/>
          <w:szCs w:val="28"/>
        </w:rPr>
      </w:pPr>
      <w:r>
        <w:rPr>
          <w:rFonts w:hint="eastAsia" w:ascii="黑体" w:eastAsia="黑体"/>
          <w:sz w:val="24"/>
        </w:rPr>
        <w:t>一、工作简况</w:t>
      </w:r>
    </w:p>
    <w:p>
      <w:pPr>
        <w:spacing w:line="560" w:lineRule="exact"/>
        <w:ind w:left="465"/>
        <w:outlineLvl w:val="1"/>
        <w:rPr>
          <w:rFonts w:ascii="楷体_GB2312" w:eastAsia="楷体_GB2312"/>
          <w:sz w:val="24"/>
        </w:rPr>
      </w:pPr>
      <w:r>
        <w:rPr>
          <w:rFonts w:eastAsia="楷体_GB2312"/>
          <w:sz w:val="24"/>
        </w:rPr>
        <w:t>1、</w:t>
      </w:r>
      <w:r>
        <w:rPr>
          <w:rFonts w:ascii="楷体_GB2312" w:eastAsia="楷体_GB2312"/>
          <w:sz w:val="24"/>
        </w:rPr>
        <w:t>任务来源</w:t>
      </w:r>
    </w:p>
    <w:p>
      <w:pPr>
        <w:spacing w:line="560" w:lineRule="exact"/>
        <w:ind w:firstLine="480" w:firstLineChars="200"/>
        <w:outlineLvl w:val="1"/>
        <w:rPr>
          <w:rFonts w:ascii="仿宋_GB2312" w:hAnsi="宋体" w:eastAsia="仿宋_GB2312"/>
          <w:sz w:val="28"/>
          <w:szCs w:val="28"/>
        </w:rPr>
      </w:pPr>
      <w:r>
        <w:rPr>
          <w:rFonts w:hint="eastAsia" w:ascii="仿宋_GB2312" w:hAnsi="宋体" w:eastAsia="仿宋_GB2312"/>
          <w:sz w:val="24"/>
        </w:rPr>
        <w:t>按照山西省市场监督管理局关于</w:t>
      </w:r>
      <w:r>
        <w:rPr>
          <w:rFonts w:eastAsia="仿宋_GB2312"/>
          <w:sz w:val="24"/>
        </w:rPr>
        <w:t>2022</w:t>
      </w:r>
      <w:r>
        <w:rPr>
          <w:rFonts w:hint="eastAsia" w:ascii="仿宋_GB2312" w:hAnsi="宋体" w:eastAsia="仿宋_GB2312"/>
          <w:sz w:val="24"/>
        </w:rPr>
        <w:t>年度省级地方标准复审结论公告（山西省地方标准公告</w:t>
      </w:r>
      <w:r>
        <w:rPr>
          <w:rFonts w:hint="eastAsia" w:eastAsia="仿宋_GB2312"/>
          <w:sz w:val="24"/>
        </w:rPr>
        <w:t>2022</w:t>
      </w:r>
      <w:r>
        <w:rPr>
          <w:rFonts w:hint="eastAsia" w:ascii="仿宋_GB2312" w:hAnsi="宋体" w:eastAsia="仿宋_GB2312"/>
          <w:sz w:val="24"/>
        </w:rPr>
        <w:t>年第</w:t>
      </w:r>
      <w:r>
        <w:rPr>
          <w:rFonts w:hint="eastAsia" w:eastAsia="仿宋_GB2312"/>
          <w:sz w:val="24"/>
        </w:rPr>
        <w:t>20</w:t>
      </w:r>
      <w:r>
        <w:rPr>
          <w:rFonts w:hint="eastAsia" w:ascii="仿宋_GB2312" w:hAnsi="宋体" w:eastAsia="仿宋_GB2312"/>
          <w:sz w:val="24"/>
        </w:rPr>
        <w:t>号），《塑料大棚西葫芦高效固碳生产技术规程》</w:t>
      </w:r>
      <w:r>
        <w:rPr>
          <w:rFonts w:hint="eastAsia" w:ascii="仿宋_GB2312" w:hAnsi="宋体" w:eastAsia="仿宋_GB2312"/>
          <w:sz w:val="24"/>
          <w:lang w:val="en-US" w:eastAsia="zh-CN"/>
        </w:rPr>
        <w:t>（</w:t>
      </w:r>
      <w:r>
        <w:rPr>
          <w:rFonts w:hint="eastAsia" w:eastAsia="仿宋_GB2312"/>
          <w:sz w:val="24"/>
        </w:rPr>
        <w:t>DB14/T 1564-2018</w:t>
      </w:r>
      <w:r>
        <w:rPr>
          <w:rFonts w:hint="eastAsia" w:ascii="仿宋_GB2312" w:hAnsi="宋体" w:eastAsia="仿宋_GB2312"/>
          <w:sz w:val="24"/>
          <w:lang w:val="en-US" w:eastAsia="zh-CN"/>
        </w:rPr>
        <w:t>）</w:t>
      </w:r>
      <w:r>
        <w:rPr>
          <w:rFonts w:hint="eastAsia" w:ascii="仿宋_GB2312" w:hAnsi="宋体" w:eastAsia="仿宋_GB2312"/>
          <w:sz w:val="24"/>
        </w:rPr>
        <w:t>被列入山西省地方标准修订计划，本标准由山西省农业标准化技术委员会（</w:t>
      </w:r>
      <w:r>
        <w:rPr>
          <w:rFonts w:hint="eastAsia" w:eastAsia="仿宋_GB2312"/>
          <w:sz w:val="24"/>
        </w:rPr>
        <w:t>SXS/TC19</w:t>
      </w:r>
      <w:r>
        <w:rPr>
          <w:rFonts w:hint="eastAsia" w:ascii="仿宋_GB2312" w:hAnsi="宋体" w:eastAsia="仿宋_GB2312"/>
          <w:sz w:val="24"/>
        </w:rPr>
        <w:t>）归口。</w:t>
      </w:r>
    </w:p>
    <w:p>
      <w:pPr>
        <w:spacing w:line="560" w:lineRule="exact"/>
        <w:ind w:left="465"/>
        <w:outlineLvl w:val="1"/>
        <w:rPr>
          <w:rFonts w:ascii="楷体_GB2312" w:eastAsia="楷体_GB2312"/>
          <w:sz w:val="28"/>
          <w:szCs w:val="28"/>
        </w:rPr>
      </w:pPr>
      <w:r>
        <w:rPr>
          <w:rFonts w:eastAsia="楷体_GB2312"/>
          <w:sz w:val="24"/>
        </w:rPr>
        <w:t>2、</w:t>
      </w:r>
      <w:r>
        <w:rPr>
          <w:rFonts w:ascii="楷体_GB2312" w:eastAsia="楷体_GB2312"/>
          <w:sz w:val="24"/>
        </w:rPr>
        <w:t>起草单位和主要起草人</w:t>
      </w:r>
    </w:p>
    <w:p>
      <w:pPr>
        <w:spacing w:line="560" w:lineRule="exact"/>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sz w:val="24"/>
        </w:rPr>
        <w:t>山西农业大学、山西省检验检测中心</w:t>
      </w:r>
      <w:r>
        <w:rPr>
          <w:rFonts w:hint="eastAsia" w:ascii="仿宋_GB2312" w:hAnsi="宋体" w:eastAsia="仿宋_GB2312"/>
          <w:sz w:val="24"/>
          <w:lang w:eastAsia="zh-CN"/>
        </w:rPr>
        <w:t>、长治市上党区郝家庄镇人民政府</w:t>
      </w:r>
      <w:r>
        <w:rPr>
          <w:rFonts w:hint="eastAsia" w:ascii="仿宋_GB2312" w:hAnsi="宋体" w:eastAsia="仿宋_GB2312"/>
          <w:sz w:val="24"/>
        </w:rPr>
        <w:t>承担</w:t>
      </w:r>
      <w:r>
        <w:rPr>
          <w:rFonts w:ascii="仿宋_GB2312" w:hAnsi="宋体" w:eastAsia="仿宋_GB2312"/>
          <w:sz w:val="24"/>
        </w:rPr>
        <w:t>。</w:t>
      </w:r>
    </w:p>
    <w:p>
      <w:pPr>
        <w:spacing w:line="560" w:lineRule="exact"/>
        <w:ind w:firstLine="480" w:firstLineChars="200"/>
        <w:jc w:val="center"/>
        <w:outlineLvl w:val="1"/>
        <w:rPr>
          <w:rFonts w:ascii="仿宋_GB2312" w:hAnsi="宋体" w:eastAsia="仿宋_GB2312"/>
          <w:sz w:val="32"/>
          <w:szCs w:val="32"/>
        </w:rPr>
      </w:pPr>
      <w:r>
        <w:rPr>
          <w:rFonts w:ascii="仿宋_GB2312" w:hAnsi="宋体" w:eastAsia="仿宋_GB2312"/>
          <w:sz w:val="24"/>
        </w:rPr>
        <w:t>主要起草人信息</w:t>
      </w:r>
    </w:p>
    <w:tbl>
      <w:tblPr>
        <w:tblStyle w:val="14"/>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905"/>
        <w:gridCol w:w="1618"/>
        <w:gridCol w:w="3613"/>
        <w:gridCol w:w="1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仿宋"/>
                <w:sz w:val="24"/>
              </w:rPr>
            </w:pPr>
            <w:r>
              <w:rPr>
                <w:rFonts w:hint="eastAsia" w:ascii="仿宋" w:hAnsi="仿宋" w:eastAsia="仿宋" w:cs="仿宋"/>
                <w:sz w:val="24"/>
              </w:rPr>
              <w:t>姓名</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仿宋"/>
                <w:sz w:val="24"/>
              </w:rPr>
            </w:pPr>
            <w:r>
              <w:rPr>
                <w:rFonts w:hint="eastAsia" w:ascii="仿宋" w:hAnsi="仿宋" w:eastAsia="仿宋" w:cs="仿宋"/>
                <w:sz w:val="24"/>
              </w:rPr>
              <w:t>性别</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仿宋"/>
                <w:sz w:val="24"/>
              </w:rPr>
            </w:pPr>
            <w:r>
              <w:rPr>
                <w:rFonts w:hint="eastAsia" w:ascii="仿宋" w:hAnsi="仿宋" w:eastAsia="仿宋" w:cs="仿宋"/>
                <w:sz w:val="24"/>
              </w:rPr>
              <w:t>职务/职称</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仿宋"/>
                <w:sz w:val="24"/>
              </w:rPr>
            </w:pPr>
            <w:r>
              <w:rPr>
                <w:rFonts w:hint="eastAsia" w:ascii="仿宋" w:hAnsi="仿宋" w:eastAsia="仿宋" w:cs="仿宋"/>
                <w:sz w:val="24"/>
              </w:rPr>
              <w:t>工作单位</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仿宋"/>
                <w:sz w:val="24"/>
              </w:rPr>
            </w:pPr>
            <w:r>
              <w:rPr>
                <w:rFonts w:hint="eastAsia" w:ascii="仿宋" w:hAnsi="仿宋" w:eastAsia="仿宋" w:cs="仿宋"/>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石玉</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女</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副教授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szCs w:val="21"/>
              </w:rPr>
            </w:pPr>
            <w:r>
              <w:rPr>
                <w:rFonts w:hint="eastAsia" w:ascii="仿宋" w:hAnsi="仿宋" w:eastAsia="仿宋" w:cs="Courier New"/>
                <w:sz w:val="24"/>
              </w:rPr>
              <w:t>山西农业大学园艺学院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仿宋" w:hAnsi="仿宋" w:eastAsia="仿宋" w:cs="Courier New"/>
                <w:sz w:val="24"/>
                <w:lang w:val="en-US" w:eastAsia="zh-CN"/>
              </w:rPr>
            </w:pPr>
            <w:r>
              <w:rPr>
                <w:rFonts w:hint="eastAsia" w:ascii="仿宋_GB2312" w:hAnsi="仿宋_GB2312" w:eastAsia="仿宋_GB2312" w:cs="仿宋_GB2312"/>
                <w:sz w:val="24"/>
                <w:lang w:val="en-US" w:eastAsia="zh-CN"/>
              </w:rPr>
              <w:t>全面负责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张璇</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女</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仿宋" w:hAnsi="仿宋" w:eastAsia="仿宋" w:cs="Courier New"/>
                <w:sz w:val="24"/>
                <w:lang w:val="en-US" w:eastAsia="zh-CN"/>
              </w:rPr>
            </w:pPr>
            <w:r>
              <w:rPr>
                <w:rFonts w:hint="eastAsia" w:ascii="仿宋" w:hAnsi="仿宋" w:eastAsia="仿宋" w:cs="Courier New"/>
                <w:sz w:val="24"/>
                <w:lang w:val="en-US" w:eastAsia="zh-CN"/>
              </w:rPr>
              <w:t>高级农艺师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szCs w:val="21"/>
              </w:rPr>
            </w:pPr>
            <w:r>
              <w:rPr>
                <w:rFonts w:hint="eastAsia" w:ascii="仿宋" w:hAnsi="仿宋" w:eastAsia="仿宋" w:cs="Courier New"/>
                <w:sz w:val="24"/>
              </w:rPr>
              <w:t>山西省检验检测中心</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文本撰写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仿宋" w:hAnsi="仿宋" w:eastAsia="仿宋" w:cs="Courier New"/>
                <w:sz w:val="24"/>
                <w:lang w:val="en-US" w:eastAsia="zh-CN"/>
              </w:rPr>
            </w:pPr>
            <w:r>
              <w:rPr>
                <w:rFonts w:hint="eastAsia" w:ascii="仿宋" w:hAnsi="仿宋" w:eastAsia="仿宋" w:cs="Courier New"/>
                <w:sz w:val="24"/>
                <w:lang w:val="en-US" w:eastAsia="zh-CN"/>
              </w:rPr>
              <w:t>王晓强</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Courier New"/>
                <w:sz w:val="24"/>
                <w:lang w:eastAsia="zh-CN"/>
              </w:rPr>
            </w:pPr>
            <w:r>
              <w:rPr>
                <w:rFonts w:hint="eastAsia" w:ascii="仿宋" w:hAnsi="仿宋" w:eastAsia="仿宋" w:cs="Courier New"/>
                <w:sz w:val="24"/>
                <w:lang w:val="en-US" w:eastAsia="zh-CN"/>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Courier New"/>
                <w:sz w:val="24"/>
              </w:rPr>
            </w:pPr>
            <w:r>
              <w:rPr>
                <w:rFonts w:hint="eastAsia" w:ascii="仿宋" w:hAnsi="仿宋" w:eastAsia="仿宋" w:cs="Courier New"/>
                <w:sz w:val="24"/>
                <w:lang w:val="en-US" w:eastAsia="zh-CN"/>
              </w:rPr>
              <w:t>农艺师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Courier New"/>
                <w:sz w:val="24"/>
              </w:rPr>
            </w:pPr>
            <w:r>
              <w:rPr>
                <w:rFonts w:hint="eastAsia" w:ascii="仿宋" w:hAnsi="仿宋" w:eastAsia="仿宋" w:cs="Courier New"/>
                <w:sz w:val="24"/>
              </w:rPr>
              <w:t>长治市上党区郝家庄镇人民政府</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sz w:val="24"/>
              </w:rPr>
            </w:pPr>
            <w:r>
              <w:rPr>
                <w:rFonts w:hint="eastAsia" w:ascii="仿宋_GB2312" w:hAnsi="仿宋_GB2312" w:eastAsia="仿宋_GB2312" w:cs="仿宋_GB2312"/>
                <w:sz w:val="24"/>
              </w:rPr>
              <w:t>数据调查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张毅</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文本撰写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宋红霞</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女</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副教授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数据调查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赵海亮</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副教授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数据调查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default" w:ascii="仿宋" w:hAnsi="仿宋" w:eastAsia="仿宋" w:cs="Courier New"/>
                <w:sz w:val="24"/>
                <w:lang w:val="en-US" w:eastAsia="zh-CN"/>
              </w:rPr>
            </w:pPr>
            <w:r>
              <w:rPr>
                <w:rFonts w:hint="eastAsia" w:ascii="仿宋" w:hAnsi="仿宋" w:eastAsia="仿宋" w:cs="Courier New"/>
                <w:sz w:val="24"/>
                <w:lang w:val="en-US" w:eastAsia="zh-CN"/>
              </w:rPr>
              <w:t>聂园军</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Courier New"/>
                <w:sz w:val="24"/>
              </w:rPr>
            </w:pPr>
            <w:r>
              <w:rPr>
                <w:rFonts w:hint="eastAsia" w:ascii="仿宋" w:hAnsi="仿宋" w:eastAsia="仿宋" w:cs="Courier New"/>
                <w:sz w:val="24"/>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Courier New"/>
                <w:sz w:val="24"/>
                <w:lang w:eastAsia="zh-CN"/>
              </w:rPr>
            </w:pPr>
            <w:r>
              <w:rPr>
                <w:rFonts w:hint="eastAsia" w:ascii="仿宋" w:hAnsi="仿宋" w:eastAsia="仿宋" w:cs="Courier New"/>
                <w:sz w:val="24"/>
              </w:rPr>
              <w:t>副</w:t>
            </w:r>
            <w:r>
              <w:rPr>
                <w:rFonts w:hint="eastAsia" w:ascii="仿宋" w:hAnsi="仿宋" w:eastAsia="仿宋" w:cs="Courier New"/>
                <w:sz w:val="24"/>
                <w:lang w:val="en-US" w:eastAsia="zh-CN"/>
              </w:rPr>
              <w:t>研究员</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lang w:val="en-US" w:eastAsia="zh-CN"/>
              </w:rPr>
              <w:t>经管</w:t>
            </w:r>
            <w:r>
              <w:rPr>
                <w:rFonts w:hint="eastAsia" w:ascii="仿宋_GB2312" w:eastAsia="仿宋_GB2312"/>
                <w:sz w:val="24"/>
              </w:rPr>
              <w:t>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hint="eastAsia" w:ascii="仿宋_GB2312" w:hAnsi="仿宋_GB2312" w:eastAsia="仿宋_GB2312" w:cs="仿宋_GB2312"/>
                <w:sz w:val="24"/>
              </w:rPr>
            </w:pPr>
            <w:r>
              <w:rPr>
                <w:rFonts w:hint="eastAsia" w:ascii="仿宋_GB2312" w:hAnsi="仿宋_GB2312" w:eastAsia="仿宋_GB2312" w:cs="仿宋_GB2312"/>
                <w:sz w:val="24"/>
              </w:rPr>
              <w:t>文本撰写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王军娥</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女</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副教授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资料查询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张静</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女</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副教授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资料查询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孙胜</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文本撰写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李梅兰</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女</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数据调查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侯雷平</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框架确定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2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pPr>
            <w:r>
              <w:rPr>
                <w:rFonts w:hint="eastAsia" w:ascii="仿宋" w:hAnsi="仿宋" w:eastAsia="仿宋" w:cs="Courier New"/>
                <w:sz w:val="24"/>
              </w:rPr>
              <w:t>邢国明</w:t>
            </w:r>
          </w:p>
        </w:tc>
        <w:tc>
          <w:tcPr>
            <w:tcW w:w="90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男</w:t>
            </w:r>
          </w:p>
        </w:tc>
        <w:tc>
          <w:tcPr>
            <w:tcW w:w="16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教授</w:t>
            </w:r>
          </w:p>
        </w:tc>
        <w:tc>
          <w:tcPr>
            <w:tcW w:w="36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 w:hAnsi="仿宋" w:eastAsia="仿宋" w:cs="Courier New"/>
                <w:sz w:val="24"/>
              </w:rPr>
              <w:t>山西农业大学</w:t>
            </w:r>
            <w:r>
              <w:rPr>
                <w:rFonts w:hint="eastAsia" w:ascii="仿宋_GB2312" w:eastAsia="仿宋_GB2312"/>
                <w:sz w:val="24"/>
              </w:rPr>
              <w:t>园艺学院</w:t>
            </w:r>
          </w:p>
        </w:tc>
        <w:tc>
          <w:tcPr>
            <w:tcW w:w="13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仿宋" w:hAnsi="仿宋" w:eastAsia="仿宋" w:cs="Courier New"/>
                <w:sz w:val="24"/>
              </w:rPr>
            </w:pPr>
            <w:r>
              <w:rPr>
                <w:rFonts w:hint="eastAsia" w:ascii="仿宋_GB2312" w:hAnsi="仿宋_GB2312" w:eastAsia="仿宋_GB2312" w:cs="仿宋_GB2312"/>
                <w:sz w:val="24"/>
              </w:rPr>
              <w:t>规划指导</w:t>
            </w:r>
          </w:p>
        </w:tc>
      </w:tr>
    </w:tbl>
    <w:p>
      <w:pPr>
        <w:spacing w:line="560" w:lineRule="exact"/>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adjustRightInd w:val="0"/>
        <w:snapToGrid w:val="0"/>
        <w:spacing w:line="560" w:lineRule="exact"/>
        <w:ind w:firstLine="480" w:firstLineChars="200"/>
        <w:rPr>
          <w:rFonts w:hint="eastAsia" w:eastAsia="仿宋_GB2312"/>
          <w:sz w:val="24"/>
        </w:rPr>
      </w:pPr>
      <w:r>
        <w:rPr>
          <w:rFonts w:hint="eastAsia" w:eastAsia="仿宋_GB2312"/>
          <w:sz w:val="24"/>
          <w:lang w:val="en-US" w:eastAsia="zh-CN"/>
        </w:rPr>
        <w:t>2023年，</w:t>
      </w:r>
      <w:r>
        <w:rPr>
          <w:rFonts w:hint="eastAsia" w:eastAsia="仿宋_GB2312"/>
          <w:sz w:val="24"/>
        </w:rPr>
        <w:t>山西省政府印发了《山西省“十四五”设施农业发展规划》，以习近平新时代中国特色社会主义思想为指引，深入贯彻党的二十大精神和习近平总书记考察调研山西重要指示精神，全面落实省委省政府大力推进设施农业发展决策部署，实施农业“特”“优”战略，以适应国内国际双循环驱动和新消费需求、推进设施农业高质量发展为目标，立足资源和产业优势，推动设施农业集群化、园区化、智能化发展，打造智能、集约、高效、安全的现代设施农业产业体系。省农业农村厅印发《关于发展现代设施农业的指导意见》《设施农业现代化提升行动实施方案（2023-2025年）》，提出“5个1工程”，聚焦现代设施园艺、设施畜牧、设施渔业、仓储冷链物流和粮食烘干设施五大领域，深入实施设施农业现代化提升行动。设施蔬菜作为设施农业最重要的组成部分，优势非常突出。</w:t>
      </w:r>
    </w:p>
    <w:p>
      <w:pPr>
        <w:adjustRightInd w:val="0"/>
        <w:snapToGrid w:val="0"/>
        <w:spacing w:line="560" w:lineRule="exact"/>
        <w:ind w:firstLine="480" w:firstLineChars="200"/>
        <w:rPr>
          <w:rFonts w:eastAsia="仿宋_GB2312"/>
          <w:sz w:val="28"/>
          <w:szCs w:val="28"/>
        </w:rPr>
      </w:pPr>
      <w:r>
        <w:rPr>
          <w:rFonts w:eastAsia="仿宋_GB2312"/>
          <w:sz w:val="24"/>
        </w:rPr>
        <w:t>西葫芦是葫芦科南瓜属一年生草本植物，富含氨基酸、果胶、葡萄糖等功能物质，食用价值和营养价值高，深受消费者喜爱，在山西省广泛栽培。西葫芦适应性强、生长快、产量高、耐贮运，已成为山西省利用塑料大棚进行春提早和秋延后栽培的主要蔬菜作物之一。然而，塑料大棚西葫芦生产过程中，普遍存在品种更新慢、种苗质量差、栽培技术粗放、温度和二氧化碳逆境影响突出等问题，致使西葫芦的固碳、增产潜力不能被充分挖掘，造成低产、低效、市场竞争力弱。近年来，依托山西省煤基重大科技攻关项目子课题</w:t>
      </w:r>
      <w:r>
        <w:rPr>
          <w:rFonts w:hint="eastAsia" w:eastAsia="仿宋_GB2312"/>
          <w:sz w:val="24"/>
        </w:rPr>
        <w:t>“</w:t>
      </w:r>
      <w:r>
        <w:rPr>
          <w:rFonts w:eastAsia="仿宋_GB2312"/>
          <w:sz w:val="24"/>
        </w:rPr>
        <w:t>设施蔬菜高效固碳CO</w:t>
      </w:r>
      <w:r>
        <w:rPr>
          <w:rFonts w:eastAsia="仿宋_GB2312"/>
          <w:sz w:val="24"/>
          <w:vertAlign w:val="subscript"/>
        </w:rPr>
        <w:t>2</w:t>
      </w:r>
      <w:r>
        <w:rPr>
          <w:rFonts w:eastAsia="仿宋_GB2312"/>
          <w:sz w:val="24"/>
        </w:rPr>
        <w:t>响应与相关生态因子耦合机制研究</w:t>
      </w:r>
      <w:r>
        <w:rPr>
          <w:rFonts w:hint="eastAsia" w:ascii="仿宋_GB2312" w:eastAsia="仿宋_GB2312"/>
          <w:sz w:val="24"/>
        </w:rPr>
        <w:t>”</w:t>
      </w:r>
      <w:r>
        <w:rPr>
          <w:rFonts w:eastAsia="仿宋_GB2312"/>
          <w:sz w:val="24"/>
        </w:rPr>
        <w:t>、山西省重点研发计划重点项目子课题</w:t>
      </w:r>
      <w:r>
        <w:rPr>
          <w:rFonts w:hint="eastAsia" w:eastAsia="仿宋_GB2312"/>
          <w:sz w:val="24"/>
        </w:rPr>
        <w:t>“</w:t>
      </w:r>
      <w:r>
        <w:rPr>
          <w:rFonts w:eastAsia="仿宋_GB2312"/>
          <w:sz w:val="24"/>
        </w:rPr>
        <w:t>设施蔬菜营养强化及轻简化栽培技术研发</w:t>
      </w:r>
      <w:r>
        <w:rPr>
          <w:rFonts w:hint="eastAsia" w:ascii="仿宋_GB2312" w:eastAsia="仿宋_GB2312"/>
          <w:sz w:val="24"/>
        </w:rPr>
        <w:t>”</w:t>
      </w:r>
      <w:r>
        <w:rPr>
          <w:rFonts w:eastAsia="仿宋_GB2312"/>
          <w:sz w:val="24"/>
        </w:rPr>
        <w:t>和</w:t>
      </w:r>
      <w:r>
        <w:rPr>
          <w:rFonts w:hint="eastAsia" w:eastAsia="仿宋_GB2312"/>
          <w:sz w:val="24"/>
        </w:rPr>
        <w:t>“</w:t>
      </w:r>
      <w:r>
        <w:rPr>
          <w:rFonts w:eastAsia="仿宋_GB2312"/>
          <w:sz w:val="24"/>
        </w:rPr>
        <w:t>设施功能蔬菜绿色生产关键技术研究与示范</w:t>
      </w:r>
      <w:r>
        <w:rPr>
          <w:rFonts w:hint="eastAsia" w:ascii="仿宋_GB2312" w:eastAsia="仿宋_GB2312"/>
          <w:sz w:val="24"/>
        </w:rPr>
        <w:t>”</w:t>
      </w:r>
      <w:r>
        <w:rPr>
          <w:rFonts w:eastAsia="仿宋_GB2312"/>
          <w:sz w:val="24"/>
        </w:rPr>
        <w:t>等项目实施，围绕塑料大棚西葫芦春提早和秋延后栽培适宜品种筛选、壮苗培育、精准灌溉施肥、品质提升、标准化和轻简化生产等开展了较为系统的研究。因此，修订《</w:t>
      </w:r>
      <w:r>
        <w:rPr>
          <w:rFonts w:hint="eastAsia" w:eastAsia="仿宋_GB2312"/>
          <w:sz w:val="24"/>
          <w:lang w:eastAsia="zh-CN"/>
        </w:rPr>
        <w:t>设施蔬菜固碳生产技术规程 塑料大棚西葫芦</w:t>
      </w:r>
      <w:r>
        <w:rPr>
          <w:rFonts w:eastAsia="仿宋_GB2312"/>
          <w:sz w:val="24"/>
        </w:rPr>
        <w:t>》，通过标准实施引领我省设施蔬菜产业高质量发展、扩大优质果蔬产品供给具有重要意义。</w:t>
      </w:r>
    </w:p>
    <w:p>
      <w:pPr>
        <w:spacing w:line="560" w:lineRule="exact"/>
        <w:ind w:firstLine="480" w:firstLineChars="200"/>
        <w:rPr>
          <w:rFonts w:ascii="黑体" w:eastAsia="黑体"/>
          <w:sz w:val="24"/>
        </w:rPr>
      </w:pPr>
      <w:r>
        <w:rPr>
          <w:rFonts w:eastAsia="黑体"/>
          <w:sz w:val="24"/>
        </w:rPr>
        <w:t>三、主要</w:t>
      </w:r>
      <w:r>
        <w:rPr>
          <w:rFonts w:hint="eastAsia" w:eastAsia="黑体"/>
          <w:sz w:val="24"/>
        </w:rPr>
        <w:t>修订</w:t>
      </w:r>
      <w:r>
        <w:rPr>
          <w:rFonts w:eastAsia="黑体"/>
          <w:sz w:val="24"/>
        </w:rPr>
        <w:t>工作过程</w:t>
      </w:r>
    </w:p>
    <w:p>
      <w:pPr>
        <w:adjustRightInd w:val="0"/>
        <w:snapToGrid w:val="0"/>
        <w:spacing w:line="560" w:lineRule="exact"/>
        <w:ind w:firstLine="480" w:firstLineChars="200"/>
        <w:rPr>
          <w:rFonts w:eastAsia="仿宋_GB2312"/>
          <w:sz w:val="28"/>
          <w:szCs w:val="28"/>
        </w:rPr>
      </w:pPr>
      <w:r>
        <w:rPr>
          <w:rFonts w:eastAsia="仿宋_GB2312"/>
          <w:color w:val="000000"/>
          <w:sz w:val="24"/>
        </w:rPr>
        <w:t>本标准起草过程中</w:t>
      </w:r>
      <w:r>
        <w:rPr>
          <w:rFonts w:eastAsia="仿宋_GB2312"/>
          <w:sz w:val="24"/>
        </w:rPr>
        <w:t>，主要经历以下</w:t>
      </w:r>
      <w:r>
        <w:rPr>
          <w:rFonts w:hint="eastAsia" w:eastAsia="仿宋_GB2312"/>
          <w:sz w:val="24"/>
        </w:rPr>
        <w:t>八</w:t>
      </w:r>
      <w:r>
        <w:rPr>
          <w:rFonts w:eastAsia="仿宋_GB2312"/>
          <w:sz w:val="24"/>
        </w:rPr>
        <w:t>个阶段：</w:t>
      </w:r>
    </w:p>
    <w:p>
      <w:pPr>
        <w:spacing w:line="560" w:lineRule="exact"/>
        <w:ind w:firstLine="480" w:firstLineChars="200"/>
        <w:rPr>
          <w:rFonts w:eastAsia="仿宋_GB2312"/>
          <w:bCs/>
          <w:sz w:val="24"/>
        </w:rPr>
      </w:pPr>
      <w:r>
        <w:rPr>
          <w:rFonts w:hint="eastAsia" w:eastAsia="楷体_GB2312"/>
          <w:sz w:val="24"/>
        </w:rPr>
        <w:t>1、成立标准修订工作组</w:t>
      </w:r>
    </w:p>
    <w:p>
      <w:pPr>
        <w:adjustRightInd w:val="0"/>
        <w:snapToGrid w:val="0"/>
        <w:spacing w:line="560" w:lineRule="exact"/>
        <w:ind w:firstLine="480" w:firstLineChars="200"/>
        <w:rPr>
          <w:rFonts w:eastAsia="仿宋_GB2312"/>
          <w:sz w:val="24"/>
        </w:rPr>
      </w:pPr>
      <w:r>
        <w:rPr>
          <w:rFonts w:eastAsia="仿宋_GB2312"/>
          <w:sz w:val="24"/>
        </w:rPr>
        <w:t>2023年7月接到标准修订项目任务后，我们积极组织技术骨干成立《</w:t>
      </w:r>
      <w:r>
        <w:rPr>
          <w:rFonts w:hint="eastAsia" w:eastAsia="仿宋_GB2312"/>
          <w:sz w:val="24"/>
          <w:lang w:eastAsia="zh-CN"/>
        </w:rPr>
        <w:t>设施蔬菜固碳生产技术规程 塑料大棚西葫芦</w:t>
      </w:r>
      <w:r>
        <w:rPr>
          <w:rFonts w:eastAsia="仿宋_GB2312"/>
          <w:sz w:val="24"/>
        </w:rPr>
        <w:t>》</w:t>
      </w:r>
      <w:r>
        <w:rPr>
          <w:rFonts w:hint="eastAsia" w:eastAsia="仿宋_GB2312"/>
          <w:sz w:val="24"/>
        </w:rPr>
        <w:t>修订工作组</w:t>
      </w:r>
      <w:r>
        <w:rPr>
          <w:rFonts w:eastAsia="仿宋_GB2312"/>
          <w:sz w:val="24"/>
        </w:rPr>
        <w:t>，工作组成员具有较丰富的专业知识和实践经验，熟悉业务，了解标准化工作的相关规定并具有较强的文字表达能力。工作组成立后，认真学习了GB/T 1.1-2020《标准化工作导则 第1部分：标准化文件的结构和起草规则》和相关的国家标准</w:t>
      </w:r>
      <w:r>
        <w:rPr>
          <w:rFonts w:hint="eastAsia" w:eastAsia="仿宋_GB2312"/>
          <w:sz w:val="24"/>
        </w:rPr>
        <w:t>、行业</w:t>
      </w:r>
      <w:r>
        <w:rPr>
          <w:rFonts w:eastAsia="仿宋_GB2312"/>
          <w:sz w:val="24"/>
        </w:rPr>
        <w:t>与地方标准，制定了工作计划，明确了内部分工及进度要求，责任落实到人。主要起草人于2023年7月27日参加了省农业标准化技术委员会开展的农业地方标准专题技术培训，进一步明确了地方标准修订方法及技术要点。</w:t>
      </w:r>
    </w:p>
    <w:p>
      <w:pPr>
        <w:spacing w:line="560" w:lineRule="exact"/>
        <w:ind w:firstLine="480" w:firstLineChars="200"/>
        <w:rPr>
          <w:rFonts w:eastAsia="楷体_GB2312"/>
          <w:sz w:val="24"/>
        </w:rPr>
      </w:pPr>
      <w:r>
        <w:rPr>
          <w:rFonts w:hint="eastAsia" w:eastAsia="楷体_GB2312"/>
          <w:sz w:val="24"/>
        </w:rPr>
        <w:t>2、调研考察</w:t>
      </w:r>
    </w:p>
    <w:p>
      <w:pPr>
        <w:adjustRightInd w:val="0"/>
        <w:snapToGrid w:val="0"/>
        <w:spacing w:line="560" w:lineRule="exact"/>
        <w:ind w:firstLine="480" w:firstLineChars="200"/>
        <w:rPr>
          <w:rFonts w:eastAsia="仿宋_GB2312"/>
          <w:sz w:val="24"/>
        </w:rPr>
      </w:pPr>
      <w:r>
        <w:rPr>
          <w:rFonts w:hint="eastAsia" w:eastAsia="仿宋_GB2312"/>
          <w:sz w:val="24"/>
        </w:rPr>
        <w:t>为了解目前我省</w:t>
      </w:r>
      <w:r>
        <w:rPr>
          <w:rFonts w:hint="eastAsia" w:eastAsia="仿宋_GB2312"/>
          <w:sz w:val="24"/>
          <w:lang w:val="en-US" w:eastAsia="zh-CN"/>
        </w:rPr>
        <w:t>塑料大棚</w:t>
      </w:r>
      <w:r>
        <w:rPr>
          <w:rFonts w:hint="eastAsia" w:eastAsia="仿宋_GB2312"/>
          <w:sz w:val="24"/>
        </w:rPr>
        <w:t>西葫芦的生产现状，标准修订组组织人员分赴</w:t>
      </w:r>
      <w:r>
        <w:rPr>
          <w:rFonts w:eastAsia="仿宋_GB2312"/>
          <w:sz w:val="24"/>
        </w:rPr>
        <w:t>晋中、</w:t>
      </w:r>
      <w:r>
        <w:rPr>
          <w:rFonts w:hint="eastAsia" w:eastAsia="仿宋_GB2312"/>
          <w:sz w:val="24"/>
        </w:rPr>
        <w:t>运城、</w:t>
      </w:r>
      <w:r>
        <w:rPr>
          <w:rFonts w:eastAsia="仿宋_GB2312"/>
          <w:sz w:val="24"/>
        </w:rPr>
        <w:t>太原</w:t>
      </w:r>
      <w:r>
        <w:rPr>
          <w:rFonts w:hint="eastAsia" w:eastAsia="仿宋_GB2312"/>
          <w:sz w:val="24"/>
        </w:rPr>
        <w:t>等多个地区进行深入调研，了解目前塑料大棚西葫芦的生产情况。</w:t>
      </w:r>
    </w:p>
    <w:p>
      <w:pPr>
        <w:spacing w:line="560" w:lineRule="exact"/>
        <w:ind w:firstLine="480" w:firstLineChars="200"/>
        <w:rPr>
          <w:rFonts w:eastAsia="楷体_GB2312"/>
          <w:sz w:val="24"/>
        </w:rPr>
      </w:pPr>
      <w:r>
        <w:rPr>
          <w:rFonts w:hint="eastAsia" w:eastAsia="楷体_GB2312"/>
          <w:sz w:val="24"/>
        </w:rPr>
        <w:t>3、收集资料</w:t>
      </w:r>
    </w:p>
    <w:p>
      <w:pPr>
        <w:adjustRightInd w:val="0"/>
        <w:snapToGrid w:val="0"/>
        <w:spacing w:line="560" w:lineRule="exact"/>
        <w:ind w:firstLine="480" w:firstLineChars="200"/>
        <w:rPr>
          <w:rFonts w:eastAsia="仿宋_GB2312"/>
          <w:sz w:val="24"/>
        </w:rPr>
      </w:pPr>
      <w:r>
        <w:rPr>
          <w:rFonts w:hint="eastAsia" w:eastAsia="仿宋_GB2312"/>
          <w:sz w:val="24"/>
        </w:rPr>
        <w:t>在深入调研和广泛听取相关部门和农户意见的基础上，</w:t>
      </w:r>
      <w:r>
        <w:rPr>
          <w:rFonts w:eastAsia="仿宋_GB2312"/>
          <w:sz w:val="24"/>
        </w:rPr>
        <w:t>掌握</w:t>
      </w:r>
      <w:r>
        <w:rPr>
          <w:rFonts w:hint="eastAsia" w:eastAsia="仿宋_GB2312"/>
          <w:sz w:val="24"/>
        </w:rPr>
        <w:t>塑料大棚西葫芦</w:t>
      </w:r>
      <w:r>
        <w:rPr>
          <w:rFonts w:eastAsia="仿宋_GB2312"/>
          <w:sz w:val="24"/>
        </w:rPr>
        <w:t>栽培</w:t>
      </w:r>
      <w:r>
        <w:rPr>
          <w:rFonts w:hint="eastAsia" w:eastAsia="仿宋_GB2312"/>
          <w:sz w:val="24"/>
        </w:rPr>
        <w:t>的相关</w:t>
      </w:r>
      <w:r>
        <w:rPr>
          <w:rFonts w:eastAsia="仿宋_GB2312"/>
          <w:sz w:val="24"/>
        </w:rPr>
        <w:t>基础资料</w:t>
      </w:r>
      <w:r>
        <w:rPr>
          <w:rFonts w:hint="eastAsia" w:eastAsia="仿宋_GB2312"/>
          <w:sz w:val="24"/>
        </w:rPr>
        <w:t>；收集其他有关塑料大棚西葫芦生产过程中</w:t>
      </w:r>
      <w:r>
        <w:rPr>
          <w:rFonts w:eastAsia="仿宋_GB2312"/>
          <w:sz w:val="24"/>
        </w:rPr>
        <w:t>种苗选择、整地施肥、定植、定植后</w:t>
      </w:r>
      <w:r>
        <w:rPr>
          <w:rFonts w:hint="eastAsia" w:eastAsia="仿宋_GB2312"/>
          <w:sz w:val="24"/>
        </w:rPr>
        <w:t>温光和</w:t>
      </w:r>
      <w:r>
        <w:rPr>
          <w:rFonts w:eastAsia="仿宋_GB2312"/>
          <w:sz w:val="24"/>
        </w:rPr>
        <w:t>水肥管理、CO</w:t>
      </w:r>
      <w:r>
        <w:rPr>
          <w:rFonts w:eastAsia="仿宋_GB2312"/>
          <w:sz w:val="24"/>
          <w:vertAlign w:val="subscript"/>
        </w:rPr>
        <w:t>2</w:t>
      </w:r>
      <w:r>
        <w:rPr>
          <w:rFonts w:eastAsia="仿宋_GB2312"/>
          <w:sz w:val="24"/>
        </w:rPr>
        <w:t>施肥、采收等国家、行业和地方标准</w:t>
      </w:r>
      <w:r>
        <w:rPr>
          <w:rFonts w:hint="eastAsia" w:eastAsia="仿宋_GB2312"/>
          <w:sz w:val="24"/>
        </w:rPr>
        <w:t>。</w:t>
      </w:r>
    </w:p>
    <w:p>
      <w:pPr>
        <w:spacing w:line="560" w:lineRule="exact"/>
        <w:ind w:firstLine="480" w:firstLineChars="200"/>
        <w:rPr>
          <w:rFonts w:eastAsia="楷体_GB2312"/>
          <w:sz w:val="24"/>
        </w:rPr>
      </w:pPr>
      <w:r>
        <w:rPr>
          <w:rFonts w:hint="eastAsia" w:eastAsia="楷体_GB2312"/>
          <w:sz w:val="24"/>
        </w:rPr>
        <w:t>4、修订文本</w:t>
      </w:r>
    </w:p>
    <w:p>
      <w:pPr>
        <w:adjustRightInd w:val="0"/>
        <w:snapToGrid w:val="0"/>
        <w:spacing w:line="560" w:lineRule="exact"/>
        <w:ind w:firstLine="480" w:firstLineChars="200"/>
        <w:rPr>
          <w:rFonts w:hint="eastAsia" w:eastAsia="仿宋_GB2312"/>
          <w:sz w:val="24"/>
        </w:rPr>
      </w:pPr>
      <w:r>
        <w:rPr>
          <w:rFonts w:eastAsia="仿宋_GB2312"/>
          <w:sz w:val="24"/>
        </w:rPr>
        <w:t>在上述基础上，结合近些年来项目组有关试验数据，经</w:t>
      </w:r>
      <w:r>
        <w:rPr>
          <w:rFonts w:hint="eastAsia" w:eastAsia="仿宋_GB2312"/>
          <w:sz w:val="24"/>
        </w:rPr>
        <w:t>工作</w:t>
      </w:r>
      <w:r>
        <w:rPr>
          <w:rFonts w:eastAsia="仿宋_GB2312"/>
          <w:sz w:val="24"/>
        </w:rPr>
        <w:t>组成员充分讨论，</w:t>
      </w:r>
      <w:r>
        <w:rPr>
          <w:rFonts w:hint="eastAsia" w:eastAsia="仿宋_GB2312"/>
          <w:sz w:val="24"/>
        </w:rPr>
        <w:t>于</w:t>
      </w:r>
      <w:r>
        <w:rPr>
          <w:rFonts w:eastAsia="仿宋_GB2312"/>
          <w:sz w:val="24"/>
        </w:rPr>
        <w:t>2024年1月完成</w:t>
      </w:r>
      <w:r>
        <w:rPr>
          <w:rFonts w:hint="eastAsia" w:eastAsia="仿宋_GB2312"/>
          <w:sz w:val="24"/>
        </w:rPr>
        <w:t>了</w:t>
      </w:r>
      <w:r>
        <w:rPr>
          <w:rFonts w:eastAsia="仿宋_GB2312"/>
          <w:sz w:val="24"/>
        </w:rPr>
        <w:t>《</w:t>
      </w:r>
      <w:r>
        <w:rPr>
          <w:rFonts w:hint="eastAsia" w:eastAsia="仿宋_GB2312"/>
          <w:sz w:val="24"/>
          <w:lang w:eastAsia="zh-CN"/>
        </w:rPr>
        <w:t>设施蔬菜固碳生产技术规程 塑料大棚西葫芦</w:t>
      </w:r>
      <w:r>
        <w:rPr>
          <w:rFonts w:eastAsia="仿宋_GB2312"/>
          <w:sz w:val="24"/>
        </w:rPr>
        <w:t>》初稿和编制说明初稿</w:t>
      </w:r>
      <w:r>
        <w:rPr>
          <w:rFonts w:hint="eastAsia" w:eastAsia="仿宋_GB2312"/>
          <w:sz w:val="24"/>
        </w:rPr>
        <w:t>。并将修订初稿发送至山西省蔬菜产业技术体系、</w:t>
      </w:r>
      <w:r>
        <w:rPr>
          <w:rFonts w:eastAsia="仿宋_GB2312"/>
          <w:sz w:val="24"/>
        </w:rPr>
        <w:t>山西省检验检测中心</w:t>
      </w:r>
      <w:r>
        <w:rPr>
          <w:rFonts w:hint="eastAsia" w:eastAsia="仿宋_GB2312"/>
          <w:sz w:val="24"/>
        </w:rPr>
        <w:t>等多位专家和相关实施单位</w:t>
      </w:r>
      <w:r>
        <w:rPr>
          <w:rFonts w:eastAsia="仿宋_GB2312"/>
          <w:sz w:val="24"/>
        </w:rPr>
        <w:t>征求意见。</w:t>
      </w:r>
      <w:r>
        <w:rPr>
          <w:rFonts w:hint="eastAsia" w:eastAsia="仿宋_GB2312"/>
          <w:sz w:val="24"/>
        </w:rPr>
        <w:t>根据征求意见，起草小组经过进一步修改和完善，形成了征求意见稿。</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eastAsia="zh-CN"/>
        </w:rPr>
        <w:t>5、技术评审</w:t>
      </w:r>
    </w:p>
    <w:p>
      <w:pPr>
        <w:adjustRightInd w:val="0"/>
        <w:snapToGrid w:val="0"/>
        <w:spacing w:line="560" w:lineRule="exact"/>
        <w:ind w:firstLine="480" w:firstLineChars="200"/>
        <w:rPr>
          <w:rFonts w:hint="default" w:eastAsia="仿宋_GB2312"/>
          <w:sz w:val="24"/>
          <w:lang w:val="en-US" w:eastAsia="zh-CN"/>
        </w:rPr>
      </w:pPr>
      <w:r>
        <w:rPr>
          <w:rFonts w:hint="eastAsia" w:eastAsia="仿宋_GB2312"/>
          <w:sz w:val="24"/>
          <w:lang w:eastAsia="zh-CN"/>
        </w:rPr>
        <w:t>2024年3月20日，山西省农业标准化技术委员会组织专家对标准文本和编制说明进行技术评审，</w:t>
      </w:r>
      <w:r>
        <w:rPr>
          <w:rFonts w:hint="eastAsia" w:eastAsia="仿宋_GB2312"/>
          <w:sz w:val="24"/>
          <w:lang w:val="en-US" w:eastAsia="zh-CN"/>
        </w:rPr>
        <w:t>从</w:t>
      </w:r>
      <w:r>
        <w:rPr>
          <w:rFonts w:hint="eastAsia" w:eastAsia="仿宋_GB2312"/>
          <w:sz w:val="24"/>
          <w:lang w:eastAsia="zh-CN"/>
        </w:rPr>
        <w:t>文本内框架、结构及内容，规范编制说明框架格式和文字表述</w:t>
      </w:r>
      <w:r>
        <w:rPr>
          <w:rFonts w:hint="eastAsia" w:eastAsia="仿宋_GB2312"/>
          <w:sz w:val="24"/>
          <w:lang w:val="en-US" w:eastAsia="zh-CN"/>
        </w:rPr>
        <w:t>等方面提出了修改意见。</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val="en-US" w:eastAsia="zh-CN"/>
        </w:rPr>
        <w:t>6</w:t>
      </w:r>
      <w:r>
        <w:rPr>
          <w:rFonts w:hint="eastAsia" w:eastAsia="仿宋_GB2312"/>
          <w:sz w:val="24"/>
          <w:lang w:eastAsia="zh-CN"/>
        </w:rPr>
        <w:t>、征求意见</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eastAsia="zh-CN"/>
        </w:rPr>
        <w:t>2024年</w:t>
      </w:r>
      <w:r>
        <w:rPr>
          <w:rFonts w:hint="eastAsia" w:eastAsia="仿宋_GB2312"/>
          <w:sz w:val="24"/>
          <w:lang w:val="en-US" w:eastAsia="zh-CN"/>
        </w:rPr>
        <w:t>**</w:t>
      </w:r>
      <w:r>
        <w:rPr>
          <w:rFonts w:hint="eastAsia" w:eastAsia="仿宋_GB2312"/>
          <w:sz w:val="24"/>
          <w:lang w:eastAsia="zh-CN"/>
        </w:rPr>
        <w:t>月</w:t>
      </w:r>
      <w:r>
        <w:rPr>
          <w:rFonts w:hint="eastAsia" w:eastAsia="仿宋_GB2312"/>
          <w:sz w:val="24"/>
          <w:lang w:val="en-US" w:eastAsia="zh-CN"/>
        </w:rPr>
        <w:t>**</w:t>
      </w:r>
      <w:r>
        <w:rPr>
          <w:rFonts w:hint="eastAsia" w:eastAsia="仿宋_GB2312"/>
          <w:sz w:val="24"/>
          <w:lang w:eastAsia="zh-CN"/>
        </w:rPr>
        <w:t>日，标准文本和编制说明报省市场监督管理局挂网向社会公开征求意见1个月。</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val="en-US" w:eastAsia="zh-CN"/>
        </w:rPr>
        <w:t>7</w:t>
      </w:r>
      <w:r>
        <w:rPr>
          <w:rFonts w:hint="eastAsia" w:eastAsia="仿宋_GB2312"/>
          <w:sz w:val="24"/>
          <w:lang w:eastAsia="zh-CN"/>
        </w:rPr>
        <w:t>、完善文本</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eastAsia="zh-CN"/>
        </w:rPr>
        <w:t>2024年</w:t>
      </w:r>
      <w:r>
        <w:rPr>
          <w:rFonts w:hint="eastAsia" w:eastAsia="仿宋_GB2312"/>
          <w:sz w:val="24"/>
          <w:lang w:val="en-US" w:eastAsia="zh-CN"/>
        </w:rPr>
        <w:t>**</w:t>
      </w:r>
      <w:r>
        <w:rPr>
          <w:rFonts w:hint="eastAsia" w:eastAsia="仿宋_GB2312"/>
          <w:sz w:val="24"/>
          <w:lang w:eastAsia="zh-CN"/>
        </w:rPr>
        <w:t>月</w:t>
      </w:r>
      <w:r>
        <w:rPr>
          <w:rFonts w:hint="eastAsia" w:eastAsia="仿宋_GB2312"/>
          <w:sz w:val="24"/>
          <w:lang w:val="en-US" w:eastAsia="zh-CN"/>
        </w:rPr>
        <w:t>**</w:t>
      </w:r>
      <w:r>
        <w:rPr>
          <w:rFonts w:hint="eastAsia" w:eastAsia="仿宋_GB2312"/>
          <w:sz w:val="24"/>
          <w:lang w:eastAsia="zh-CN"/>
        </w:rPr>
        <w:t>日</w:t>
      </w:r>
      <w:r>
        <w:rPr>
          <w:rFonts w:hint="eastAsia" w:eastAsia="仿宋_GB2312"/>
          <w:sz w:val="24"/>
          <w:lang w:val="en-US" w:eastAsia="zh-CN"/>
        </w:rPr>
        <w:t>，根据征求意见进一步修改完善</w:t>
      </w:r>
      <w:r>
        <w:rPr>
          <w:rFonts w:hint="eastAsia" w:eastAsia="仿宋_GB2312"/>
          <w:sz w:val="24"/>
          <w:lang w:eastAsia="zh-CN"/>
        </w:rPr>
        <w:t>后形成标准送审稿，</w:t>
      </w:r>
      <w:r>
        <w:rPr>
          <w:rFonts w:hint="eastAsia" w:eastAsia="仿宋_GB2312"/>
          <w:sz w:val="24"/>
          <w:lang w:val="en-US" w:eastAsia="zh-CN"/>
        </w:rPr>
        <w:t>报</w:t>
      </w:r>
      <w:r>
        <w:rPr>
          <w:rFonts w:hint="eastAsia" w:eastAsia="仿宋_GB2312"/>
          <w:sz w:val="24"/>
          <w:lang w:eastAsia="zh-CN"/>
        </w:rPr>
        <w:t>标委会表决。</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val="en-US" w:eastAsia="zh-CN"/>
        </w:rPr>
        <w:t>8</w:t>
      </w:r>
      <w:r>
        <w:rPr>
          <w:rFonts w:hint="eastAsia" w:eastAsia="仿宋_GB2312"/>
          <w:sz w:val="24"/>
          <w:lang w:eastAsia="zh-CN"/>
        </w:rPr>
        <w:t>、形成报批稿、提交报批材料</w:t>
      </w:r>
    </w:p>
    <w:p>
      <w:pPr>
        <w:adjustRightInd w:val="0"/>
        <w:snapToGrid w:val="0"/>
        <w:spacing w:line="560" w:lineRule="exact"/>
        <w:ind w:firstLine="480" w:firstLineChars="200"/>
        <w:rPr>
          <w:rFonts w:hint="eastAsia" w:eastAsia="仿宋_GB2312"/>
          <w:sz w:val="24"/>
          <w:lang w:eastAsia="zh-CN"/>
        </w:rPr>
      </w:pPr>
      <w:r>
        <w:rPr>
          <w:rFonts w:hint="eastAsia" w:eastAsia="仿宋_GB2312"/>
          <w:sz w:val="24"/>
          <w:lang w:eastAsia="zh-CN"/>
        </w:rPr>
        <w:t>2024年</w:t>
      </w:r>
      <w:r>
        <w:rPr>
          <w:rFonts w:hint="eastAsia" w:eastAsia="仿宋_GB2312"/>
          <w:sz w:val="24"/>
          <w:lang w:val="en-US" w:eastAsia="zh-CN"/>
        </w:rPr>
        <w:t>**</w:t>
      </w:r>
      <w:r>
        <w:rPr>
          <w:rFonts w:hint="eastAsia" w:eastAsia="仿宋_GB2312"/>
          <w:sz w:val="24"/>
          <w:lang w:eastAsia="zh-CN"/>
        </w:rPr>
        <w:t>月</w:t>
      </w:r>
      <w:r>
        <w:rPr>
          <w:rFonts w:hint="eastAsia" w:eastAsia="仿宋_GB2312"/>
          <w:sz w:val="24"/>
          <w:lang w:val="en-US" w:eastAsia="zh-CN"/>
        </w:rPr>
        <w:t>**</w:t>
      </w:r>
      <w:r>
        <w:rPr>
          <w:rFonts w:hint="eastAsia" w:eastAsia="仿宋_GB2312"/>
          <w:sz w:val="24"/>
          <w:lang w:eastAsia="zh-CN"/>
        </w:rPr>
        <w:t>日，在采纳评审专家和挂网公开征求到的意见基础上，对标准文本和编制说明进行补充</w:t>
      </w:r>
      <w:r>
        <w:rPr>
          <w:rFonts w:hint="eastAsia" w:eastAsia="仿宋_GB2312"/>
          <w:sz w:val="24"/>
          <w:lang w:val="en-US" w:eastAsia="zh-CN"/>
        </w:rPr>
        <w:t>完善</w:t>
      </w:r>
      <w:r>
        <w:rPr>
          <w:rFonts w:hint="eastAsia" w:eastAsia="仿宋_GB2312"/>
          <w:sz w:val="24"/>
          <w:lang w:eastAsia="zh-CN"/>
        </w:rPr>
        <w:t>，形成报批稿，提交报批材料。</w:t>
      </w:r>
    </w:p>
    <w:p>
      <w:pPr>
        <w:spacing w:line="560" w:lineRule="exact"/>
        <w:ind w:firstLine="480" w:firstLineChars="20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rPr>
        <w:t>修</w:t>
      </w:r>
      <w:r>
        <w:rPr>
          <w:rFonts w:ascii="黑体" w:eastAsia="黑体"/>
          <w:sz w:val="24"/>
        </w:rPr>
        <w:t>订标准的原则和依据，与现行法律、法规、标准的关系</w:t>
      </w:r>
    </w:p>
    <w:p>
      <w:pPr>
        <w:spacing w:line="560" w:lineRule="exact"/>
        <w:ind w:firstLine="480" w:firstLineChars="200"/>
        <w:rPr>
          <w:rFonts w:eastAsia="楷体_GB2312"/>
          <w:sz w:val="24"/>
        </w:rPr>
      </w:pPr>
      <w:r>
        <w:rPr>
          <w:rFonts w:eastAsia="楷体_GB2312"/>
          <w:sz w:val="24"/>
        </w:rPr>
        <w:t>1</w:t>
      </w:r>
      <w:r>
        <w:rPr>
          <w:rFonts w:hint="eastAsia" w:eastAsia="楷体_GB2312"/>
          <w:sz w:val="24"/>
        </w:rPr>
        <w:t>、</w:t>
      </w:r>
      <w:r>
        <w:rPr>
          <w:rFonts w:eastAsia="楷体_GB2312"/>
          <w:sz w:val="24"/>
        </w:rPr>
        <w:t>修订标准的原则和依据</w:t>
      </w:r>
    </w:p>
    <w:p>
      <w:pPr>
        <w:spacing w:line="560" w:lineRule="exact"/>
        <w:ind w:firstLine="480" w:firstLineChars="200"/>
        <w:rPr>
          <w:rFonts w:eastAsia="仿宋_GB2312"/>
          <w:bCs/>
          <w:sz w:val="24"/>
        </w:rPr>
      </w:pPr>
      <w:r>
        <w:rPr>
          <w:rFonts w:eastAsia="仿宋_GB2312"/>
          <w:bCs/>
          <w:sz w:val="24"/>
        </w:rPr>
        <w:t>本标准以</w:t>
      </w:r>
      <w:r>
        <w:rPr>
          <w:rFonts w:hint="eastAsia" w:eastAsia="仿宋_GB2312"/>
          <w:bCs/>
          <w:sz w:val="24"/>
        </w:rPr>
        <w:t>塑料大棚西葫芦</w:t>
      </w:r>
      <w:r>
        <w:rPr>
          <w:rFonts w:eastAsia="仿宋_GB2312"/>
          <w:bCs/>
          <w:sz w:val="24"/>
        </w:rPr>
        <w:t>高效固碳</w:t>
      </w:r>
      <w:r>
        <w:rPr>
          <w:rFonts w:hint="eastAsia" w:eastAsia="仿宋_GB2312"/>
          <w:bCs/>
          <w:sz w:val="24"/>
        </w:rPr>
        <w:t>生产</w:t>
      </w:r>
      <w:r>
        <w:rPr>
          <w:rFonts w:eastAsia="仿宋_GB2312"/>
          <w:bCs/>
          <w:sz w:val="24"/>
        </w:rPr>
        <w:t>技术为研究对象，规定了</w:t>
      </w:r>
      <w:r>
        <w:rPr>
          <w:rFonts w:hint="eastAsia" w:eastAsia="仿宋_GB2312"/>
          <w:bCs/>
          <w:sz w:val="24"/>
        </w:rPr>
        <w:t>大棚西葫芦生产</w:t>
      </w:r>
      <w:r>
        <w:rPr>
          <w:rFonts w:eastAsia="仿宋_GB2312"/>
          <w:bCs/>
          <w:sz w:val="24"/>
        </w:rPr>
        <w:t>种苗选择、整地施肥、定植、定植后温度、光照、水肥管理、CO</w:t>
      </w:r>
      <w:r>
        <w:rPr>
          <w:rFonts w:eastAsia="仿宋_GB2312"/>
          <w:bCs/>
          <w:sz w:val="24"/>
          <w:vertAlign w:val="subscript"/>
        </w:rPr>
        <w:t>2</w:t>
      </w:r>
      <w:r>
        <w:rPr>
          <w:rFonts w:eastAsia="仿宋_GB2312"/>
          <w:bCs/>
          <w:sz w:val="24"/>
        </w:rPr>
        <w:t>施肥、采收等主要技术环节。在标准具体指标编制过程中，坚持从山西省</w:t>
      </w:r>
      <w:r>
        <w:rPr>
          <w:rFonts w:hint="eastAsia" w:eastAsia="仿宋_GB2312"/>
          <w:bCs/>
          <w:sz w:val="24"/>
        </w:rPr>
        <w:t>塑料大棚西葫芦</w:t>
      </w:r>
      <w:r>
        <w:rPr>
          <w:rFonts w:eastAsia="仿宋_GB2312"/>
          <w:bCs/>
          <w:sz w:val="24"/>
        </w:rPr>
        <w:t>生产实际出发，以满足</w:t>
      </w:r>
      <w:r>
        <w:rPr>
          <w:rFonts w:hint="eastAsia" w:eastAsia="仿宋_GB2312"/>
          <w:bCs/>
          <w:sz w:val="24"/>
        </w:rPr>
        <w:t>塑料大棚西葫芦</w:t>
      </w:r>
      <w:r>
        <w:rPr>
          <w:rFonts w:eastAsia="仿宋_GB2312"/>
          <w:bCs/>
          <w:sz w:val="24"/>
        </w:rPr>
        <w:t>高效固碳</w:t>
      </w:r>
      <w:r>
        <w:rPr>
          <w:rFonts w:hint="eastAsia" w:eastAsia="仿宋_GB2312"/>
          <w:bCs/>
          <w:sz w:val="24"/>
        </w:rPr>
        <w:t>生产</w:t>
      </w:r>
      <w:r>
        <w:rPr>
          <w:rFonts w:eastAsia="仿宋_GB2312"/>
          <w:bCs/>
          <w:sz w:val="24"/>
        </w:rPr>
        <w:t>要求为切入点，坚持科学性、实用性和可操作性的原则，力求轻简化，满足生产的迫切需要。</w:t>
      </w:r>
    </w:p>
    <w:p>
      <w:pPr>
        <w:spacing w:line="560" w:lineRule="exact"/>
        <w:ind w:firstLine="480" w:firstLineChars="200"/>
        <w:rPr>
          <w:rFonts w:eastAsia="仿宋_GB2312"/>
          <w:bCs/>
          <w:sz w:val="24"/>
        </w:rPr>
      </w:pPr>
      <w:r>
        <w:rPr>
          <w:rFonts w:eastAsia="仿宋_GB2312"/>
          <w:bCs/>
          <w:sz w:val="24"/>
        </w:rPr>
        <w:t>科学性：本标准相关内容是项目组成员多年来各类科研项目以及调查研究的部分内容，是通过研究、调查、试验形成的相关内容，并经过多年的试验验证和反复修正，最终形成的本标准，技术参数可靠。</w:t>
      </w:r>
    </w:p>
    <w:p>
      <w:pPr>
        <w:spacing w:line="560" w:lineRule="exact"/>
        <w:ind w:firstLine="480" w:firstLineChars="200"/>
        <w:rPr>
          <w:rFonts w:eastAsia="仿宋_GB2312"/>
          <w:bCs/>
          <w:sz w:val="24"/>
        </w:rPr>
      </w:pPr>
      <w:r>
        <w:rPr>
          <w:rFonts w:eastAsia="仿宋_GB2312"/>
          <w:bCs/>
          <w:sz w:val="24"/>
        </w:rPr>
        <w:t>实用性：本规范规定了山西省境内</w:t>
      </w:r>
      <w:r>
        <w:rPr>
          <w:rFonts w:hint="eastAsia" w:eastAsia="仿宋_GB2312"/>
          <w:bCs/>
          <w:sz w:val="24"/>
        </w:rPr>
        <w:t>塑料大棚西葫芦</w:t>
      </w:r>
      <w:r>
        <w:rPr>
          <w:rFonts w:eastAsia="仿宋_GB2312"/>
          <w:bCs/>
          <w:sz w:val="24"/>
        </w:rPr>
        <w:t>高效固碳</w:t>
      </w:r>
      <w:r>
        <w:rPr>
          <w:rFonts w:hint="eastAsia" w:eastAsia="仿宋_GB2312"/>
          <w:bCs/>
          <w:sz w:val="24"/>
        </w:rPr>
        <w:t>生产</w:t>
      </w:r>
      <w:r>
        <w:rPr>
          <w:rFonts w:eastAsia="仿宋_GB2312"/>
          <w:bCs/>
          <w:sz w:val="24"/>
        </w:rPr>
        <w:t>的</w:t>
      </w:r>
      <w:r>
        <w:rPr>
          <w:rFonts w:hint="eastAsia" w:eastAsia="仿宋_GB2312"/>
          <w:bCs/>
          <w:sz w:val="24"/>
        </w:rPr>
        <w:t>大棚</w:t>
      </w:r>
      <w:r>
        <w:rPr>
          <w:rFonts w:eastAsia="仿宋_GB2312"/>
          <w:bCs/>
          <w:sz w:val="24"/>
        </w:rPr>
        <w:t>环境、茬口安排、栽培技术（种苗、整地施肥、定植、田间管理）、CO</w:t>
      </w:r>
      <w:r>
        <w:rPr>
          <w:rFonts w:eastAsia="仿宋_GB2312"/>
          <w:bCs/>
          <w:sz w:val="24"/>
          <w:vertAlign w:val="subscript"/>
        </w:rPr>
        <w:t>2</w:t>
      </w:r>
      <w:r>
        <w:rPr>
          <w:rFonts w:eastAsia="仿宋_GB2312"/>
          <w:bCs/>
          <w:sz w:val="24"/>
        </w:rPr>
        <w:t>施肥、采收、建立生产档案等技术措施，具有较强的实用性。</w:t>
      </w:r>
    </w:p>
    <w:p>
      <w:pPr>
        <w:spacing w:line="560" w:lineRule="exact"/>
        <w:ind w:firstLine="480" w:firstLineChars="200"/>
        <w:rPr>
          <w:rFonts w:eastAsia="仿宋_GB2312"/>
          <w:bCs/>
          <w:sz w:val="24"/>
        </w:rPr>
      </w:pPr>
      <w:r>
        <w:rPr>
          <w:rFonts w:eastAsia="仿宋_GB2312"/>
          <w:bCs/>
          <w:sz w:val="24"/>
        </w:rPr>
        <w:t>可操作性：本标准在制定过程中，结合生产实践，进行了系统性和规范性的总结，并注重细节和可操作性，力求达到广大使用者看得懂、用得上，操作方便。</w:t>
      </w:r>
    </w:p>
    <w:p>
      <w:pPr>
        <w:spacing w:line="560" w:lineRule="exact"/>
        <w:ind w:firstLine="480" w:firstLineChars="200"/>
        <w:rPr>
          <w:rFonts w:eastAsia="仿宋_GB2312"/>
          <w:bCs/>
          <w:sz w:val="24"/>
        </w:rPr>
      </w:pPr>
      <w:r>
        <w:rPr>
          <w:rFonts w:hint="eastAsia" w:eastAsia="楷体_GB2312"/>
          <w:sz w:val="24"/>
        </w:rPr>
        <w:t>2、</w:t>
      </w:r>
      <w:r>
        <w:rPr>
          <w:rFonts w:eastAsia="楷体_GB2312"/>
          <w:sz w:val="24"/>
        </w:rPr>
        <w:t>与现行法律、法规、标准的关系</w:t>
      </w:r>
    </w:p>
    <w:p>
      <w:pPr>
        <w:spacing w:line="560" w:lineRule="exact"/>
        <w:ind w:firstLine="480" w:firstLineChars="200"/>
        <w:rPr>
          <w:rFonts w:eastAsia="仿宋_GB2312"/>
          <w:bCs/>
          <w:sz w:val="28"/>
          <w:szCs w:val="28"/>
        </w:rPr>
      </w:pPr>
      <w:r>
        <w:rPr>
          <w:rFonts w:eastAsia="仿宋_GB2312"/>
          <w:bCs/>
          <w:sz w:val="24"/>
        </w:rPr>
        <w:t>本标准从山西省</w:t>
      </w:r>
      <w:r>
        <w:rPr>
          <w:rFonts w:hint="eastAsia" w:eastAsia="仿宋_GB2312"/>
          <w:bCs/>
          <w:sz w:val="24"/>
        </w:rPr>
        <w:t>塑料大棚西葫芦</w:t>
      </w:r>
      <w:r>
        <w:rPr>
          <w:rFonts w:eastAsia="仿宋_GB2312"/>
          <w:bCs/>
          <w:sz w:val="24"/>
        </w:rPr>
        <w:t>高效固碳</w:t>
      </w:r>
      <w:r>
        <w:rPr>
          <w:rFonts w:hint="eastAsia" w:eastAsia="仿宋_GB2312"/>
          <w:bCs/>
          <w:sz w:val="24"/>
        </w:rPr>
        <w:t>生产的</w:t>
      </w:r>
      <w:r>
        <w:rPr>
          <w:rFonts w:eastAsia="仿宋_GB2312"/>
          <w:bCs/>
          <w:sz w:val="24"/>
        </w:rPr>
        <w:t>实际要求出发，在现行法律</w:t>
      </w:r>
      <w:r>
        <w:rPr>
          <w:rFonts w:hint="eastAsia" w:eastAsia="仿宋_GB2312"/>
          <w:bCs/>
          <w:sz w:val="24"/>
        </w:rPr>
        <w:t>、</w:t>
      </w:r>
      <w:r>
        <w:rPr>
          <w:rFonts w:eastAsia="仿宋_GB2312"/>
          <w:bCs/>
          <w:sz w:val="24"/>
        </w:rPr>
        <w:t>法规的框架内起草，结合山西省当地实际情况进行制定，符合现行法律、法规的相关条款</w:t>
      </w:r>
      <w:r>
        <w:rPr>
          <w:rFonts w:hint="eastAsia" w:eastAsia="仿宋_GB2312"/>
          <w:bCs/>
          <w:sz w:val="24"/>
        </w:rPr>
        <w:t>，同时也参考了部分国家标准、行业标准和山西省地方标准的相关内容。</w:t>
      </w:r>
    </w:p>
    <w:p>
      <w:pPr>
        <w:spacing w:line="560" w:lineRule="exact"/>
        <w:ind w:firstLine="480" w:firstLineChars="20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560" w:lineRule="exact"/>
        <w:ind w:firstLine="480" w:firstLineChars="200"/>
        <w:rPr>
          <w:rFonts w:eastAsia="仿宋_GB2312"/>
          <w:bCs/>
          <w:sz w:val="24"/>
        </w:rPr>
      </w:pPr>
      <w:r>
        <w:rPr>
          <w:rFonts w:hint="eastAsia" w:eastAsia="仿宋_GB2312"/>
          <w:bCs/>
          <w:sz w:val="24"/>
        </w:rPr>
        <w:t>标准起草组以“合法性、安全性、适应性、协调性和先进性”为修订原则，以文本结构更加合理、表述更加准确、技术指标更加科学为修订目标，从3个方面对文本进行了修订，其中：</w:t>
      </w:r>
    </w:p>
    <w:p>
      <w:pPr>
        <w:spacing w:line="560" w:lineRule="exact"/>
        <w:ind w:firstLine="480" w:firstLineChars="200"/>
        <w:rPr>
          <w:rFonts w:eastAsia="仿宋_GB2312"/>
          <w:bCs/>
          <w:sz w:val="24"/>
        </w:rPr>
      </w:pPr>
      <w:r>
        <w:rPr>
          <w:rFonts w:hint="eastAsia" w:eastAsia="楷体_GB2312"/>
          <w:sz w:val="24"/>
        </w:rPr>
        <w:t>1、涉及结构性调整的主要有3项：</w:t>
      </w:r>
    </w:p>
    <w:p>
      <w:pPr>
        <w:spacing w:line="560" w:lineRule="exact"/>
        <w:ind w:firstLine="480" w:firstLineChars="200"/>
        <w:rPr>
          <w:rFonts w:eastAsia="仿宋_GB2312"/>
          <w:bCs/>
          <w:sz w:val="24"/>
        </w:rPr>
      </w:pPr>
      <w:r>
        <w:rPr>
          <w:rFonts w:hint="eastAsia" w:eastAsia="仿宋_GB2312"/>
          <w:bCs/>
          <w:sz w:val="24"/>
        </w:rPr>
        <w:t>（1）增加了附录（见附录</w:t>
      </w:r>
      <w:r>
        <w:rPr>
          <w:rFonts w:hint="eastAsia" w:eastAsia="仿宋_GB2312"/>
          <w:bCs/>
          <w:sz w:val="24"/>
          <w:lang w:val="en-US" w:eastAsia="zh-CN"/>
        </w:rPr>
        <w:t>A</w:t>
      </w:r>
      <w:r>
        <w:rPr>
          <w:rFonts w:hint="eastAsia" w:eastAsia="仿宋_GB2312"/>
          <w:bCs/>
          <w:sz w:val="24"/>
        </w:rPr>
        <w:t>）</w:t>
      </w:r>
    </w:p>
    <w:p>
      <w:pPr>
        <w:spacing w:line="560" w:lineRule="exact"/>
        <w:ind w:firstLine="480" w:firstLineChars="200"/>
        <w:rPr>
          <w:rFonts w:eastAsia="仿宋_GB2312"/>
          <w:sz w:val="24"/>
        </w:rPr>
      </w:pPr>
      <w:r>
        <w:rPr>
          <w:rFonts w:hint="eastAsia" w:eastAsia="仿宋_GB2312"/>
          <w:bCs/>
          <w:sz w:val="24"/>
        </w:rPr>
        <w:t>修订原因：</w:t>
      </w:r>
      <w:r>
        <w:rPr>
          <w:rFonts w:eastAsia="仿宋_GB2312"/>
          <w:sz w:val="24"/>
        </w:rPr>
        <w:t>根据</w:t>
      </w:r>
      <w:r>
        <w:rPr>
          <w:rFonts w:hint="eastAsia" w:eastAsia="仿宋_GB2312"/>
          <w:sz w:val="24"/>
        </w:rPr>
        <w:t>生产档案</w:t>
      </w:r>
      <w:r>
        <w:rPr>
          <w:rFonts w:eastAsia="仿宋_GB2312"/>
          <w:sz w:val="24"/>
        </w:rPr>
        <w:t>的编写要求增加</w:t>
      </w:r>
      <w:r>
        <w:rPr>
          <w:rFonts w:hint="eastAsia" w:eastAsia="仿宋_GB2312"/>
          <w:sz w:val="24"/>
        </w:rPr>
        <w:t>。</w:t>
      </w:r>
    </w:p>
    <w:p>
      <w:pPr>
        <w:spacing w:line="560" w:lineRule="exact"/>
        <w:ind w:firstLine="480" w:firstLineChars="200"/>
        <w:rPr>
          <w:rFonts w:eastAsia="仿宋_GB2312"/>
          <w:bCs/>
          <w:sz w:val="24"/>
        </w:rPr>
      </w:pPr>
      <w:r>
        <w:rPr>
          <w:rFonts w:hint="eastAsia" w:eastAsia="仿宋_GB2312"/>
          <w:bCs/>
          <w:sz w:val="24"/>
        </w:rPr>
        <w:t>（2）更改了植株调整（见</w:t>
      </w:r>
      <w:r>
        <w:rPr>
          <w:rFonts w:hint="eastAsia" w:eastAsia="楷体_GB2312"/>
          <w:sz w:val="24"/>
        </w:rPr>
        <w:t>9.5，2018</w:t>
      </w:r>
      <w:r>
        <w:rPr>
          <w:rFonts w:hint="eastAsia" w:eastAsia="仿宋_GB2312"/>
          <w:bCs/>
          <w:sz w:val="24"/>
        </w:rPr>
        <w:t>年版</w:t>
      </w:r>
      <w:r>
        <w:rPr>
          <w:rFonts w:hint="eastAsia" w:eastAsia="楷体_GB2312"/>
          <w:sz w:val="24"/>
        </w:rPr>
        <w:t>9.5</w:t>
      </w:r>
      <w:r>
        <w:rPr>
          <w:rFonts w:hint="eastAsia" w:eastAsia="仿宋_GB2312"/>
          <w:bCs/>
          <w:sz w:val="24"/>
        </w:rPr>
        <w:t>）</w:t>
      </w:r>
    </w:p>
    <w:p>
      <w:pPr>
        <w:spacing w:line="560" w:lineRule="exact"/>
        <w:ind w:firstLine="480" w:firstLineChars="200"/>
        <w:rPr>
          <w:rFonts w:eastAsia="楷体_GB2312"/>
          <w:sz w:val="24"/>
        </w:rPr>
      </w:pPr>
      <w:r>
        <w:rPr>
          <w:rFonts w:hint="eastAsia" w:eastAsia="仿宋_GB2312"/>
          <w:bCs/>
          <w:sz w:val="24"/>
        </w:rPr>
        <w:t>修订原因：西葫芦植株调整包括吊蔓、整枝和落蔓。故将“9.5.1 整枝吊蔓”修订为“9.5.1吊蔓、9.5.2 整枝、9.5.3 落蔓”，并对如何操作进行了</w:t>
      </w:r>
      <w:r>
        <w:rPr>
          <w:rFonts w:hint="eastAsia" w:eastAsia="仿宋_GB2312"/>
          <w:bCs/>
          <w:sz w:val="24"/>
          <w:lang w:val="en-US" w:eastAsia="zh-CN"/>
        </w:rPr>
        <w:t>相应</w:t>
      </w:r>
      <w:r>
        <w:rPr>
          <w:rFonts w:hint="eastAsia" w:eastAsia="仿宋_GB2312"/>
          <w:bCs/>
          <w:sz w:val="24"/>
        </w:rPr>
        <w:t>描述。</w:t>
      </w:r>
    </w:p>
    <w:p>
      <w:pPr>
        <w:spacing w:line="560" w:lineRule="exact"/>
        <w:ind w:firstLine="480" w:firstLineChars="200"/>
        <w:rPr>
          <w:rFonts w:eastAsia="仿宋_GB2312"/>
          <w:bCs/>
          <w:sz w:val="24"/>
        </w:rPr>
      </w:pPr>
      <w:r>
        <w:rPr>
          <w:rFonts w:hint="eastAsia" w:eastAsia="仿宋_GB2312"/>
          <w:bCs/>
          <w:sz w:val="24"/>
        </w:rPr>
        <w:t>（3）更改了人工授粉</w:t>
      </w:r>
      <w:r>
        <w:rPr>
          <w:rFonts w:hint="eastAsia" w:eastAsia="楷体_GB2312"/>
          <w:sz w:val="24"/>
        </w:rPr>
        <w:t>（见9.6，2018</w:t>
      </w:r>
      <w:r>
        <w:rPr>
          <w:rFonts w:hint="eastAsia" w:eastAsia="仿宋_GB2312"/>
          <w:bCs/>
          <w:sz w:val="24"/>
        </w:rPr>
        <w:t>年版</w:t>
      </w:r>
      <w:r>
        <w:rPr>
          <w:rFonts w:hint="eastAsia" w:eastAsia="楷体_GB2312"/>
          <w:sz w:val="24"/>
        </w:rPr>
        <w:t>9.5.2</w:t>
      </w:r>
      <w:r>
        <w:rPr>
          <w:rFonts w:hint="eastAsia" w:eastAsia="仿宋_GB2312"/>
          <w:bCs/>
          <w:sz w:val="24"/>
        </w:rPr>
        <w:t>）</w:t>
      </w:r>
    </w:p>
    <w:p>
      <w:pPr>
        <w:spacing w:line="560" w:lineRule="exact"/>
        <w:ind w:firstLine="480" w:firstLineChars="200"/>
        <w:rPr>
          <w:rFonts w:eastAsia="仿宋_GB2312"/>
          <w:sz w:val="24"/>
        </w:rPr>
      </w:pPr>
      <w:r>
        <w:rPr>
          <w:rFonts w:hint="eastAsia" w:eastAsia="仿宋_GB2312"/>
          <w:bCs/>
          <w:sz w:val="24"/>
        </w:rPr>
        <w:t>修订原因：人工授粉不是植株调整的内容，故将“9.5.2 人工授粉”修订为“9.6 人工授粉”。</w:t>
      </w:r>
    </w:p>
    <w:p>
      <w:pPr>
        <w:spacing w:line="560" w:lineRule="exact"/>
        <w:ind w:firstLine="480" w:firstLineChars="200"/>
        <w:rPr>
          <w:rFonts w:eastAsia="楷体_GB2312"/>
          <w:sz w:val="24"/>
        </w:rPr>
      </w:pPr>
      <w:r>
        <w:rPr>
          <w:rFonts w:hint="eastAsia" w:eastAsia="楷体_GB2312"/>
          <w:sz w:val="24"/>
        </w:rPr>
        <w:t>2、涉及表述与编辑性修改的主要有4项：</w:t>
      </w:r>
    </w:p>
    <w:p>
      <w:pPr>
        <w:spacing w:line="560" w:lineRule="exact"/>
        <w:ind w:firstLine="480" w:firstLineChars="200"/>
        <w:rPr>
          <w:rFonts w:eastAsia="楷体_GB2312"/>
          <w:sz w:val="24"/>
        </w:rPr>
      </w:pPr>
      <w:r>
        <w:rPr>
          <w:rFonts w:hint="eastAsia" w:eastAsia="仿宋_GB2312"/>
          <w:bCs/>
          <w:sz w:val="24"/>
        </w:rPr>
        <w:t>（1）更改了范围（见</w:t>
      </w:r>
      <w:r>
        <w:rPr>
          <w:rFonts w:hint="eastAsia" w:eastAsia="楷体_GB2312"/>
          <w:sz w:val="24"/>
        </w:rPr>
        <w:t>1，2018</w:t>
      </w:r>
      <w:r>
        <w:rPr>
          <w:rFonts w:hint="eastAsia" w:eastAsia="仿宋_GB2312"/>
          <w:bCs/>
          <w:sz w:val="24"/>
        </w:rPr>
        <w:t>年版</w:t>
      </w:r>
      <w:r>
        <w:rPr>
          <w:rFonts w:hint="eastAsia" w:eastAsia="楷体_GB2312"/>
          <w:sz w:val="24"/>
        </w:rPr>
        <w:t>1</w:t>
      </w:r>
      <w:r>
        <w:rPr>
          <w:rFonts w:hint="eastAsia" w:eastAsia="仿宋_GB2312"/>
          <w:bCs/>
          <w:sz w:val="24"/>
        </w:rPr>
        <w:t>）</w:t>
      </w:r>
    </w:p>
    <w:p>
      <w:pPr>
        <w:spacing w:line="560" w:lineRule="exact"/>
        <w:ind w:firstLine="480" w:firstLineChars="200"/>
        <w:rPr>
          <w:rFonts w:eastAsia="仿宋_GB2312"/>
          <w:bCs/>
          <w:sz w:val="24"/>
        </w:rPr>
      </w:pPr>
      <w:r>
        <w:rPr>
          <w:rFonts w:hint="eastAsia" w:eastAsia="仿宋_GB2312"/>
          <w:bCs/>
          <w:sz w:val="24"/>
        </w:rPr>
        <w:t>修订原因：</w:t>
      </w:r>
      <w:r>
        <w:rPr>
          <w:rFonts w:eastAsia="仿宋_GB2312"/>
          <w:color w:val="000000"/>
          <w:sz w:val="24"/>
        </w:rPr>
        <w:t>根据章条的调整做出修改</w:t>
      </w:r>
      <w:r>
        <w:rPr>
          <w:rFonts w:hint="eastAsia" w:eastAsia="仿宋_GB2312"/>
          <w:bCs/>
          <w:sz w:val="24"/>
        </w:rPr>
        <w:t>。</w:t>
      </w:r>
    </w:p>
    <w:p>
      <w:pPr>
        <w:spacing w:line="560" w:lineRule="exact"/>
        <w:ind w:firstLine="480" w:firstLineChars="200"/>
        <w:rPr>
          <w:sz w:val="24"/>
        </w:rPr>
      </w:pPr>
      <w:r>
        <w:rPr>
          <w:rFonts w:hint="eastAsia" w:eastAsia="仿宋_GB2312"/>
          <w:bCs/>
          <w:sz w:val="24"/>
        </w:rPr>
        <w:t>（2）更改了规范性引用文件（见</w:t>
      </w:r>
      <w:r>
        <w:rPr>
          <w:rFonts w:hint="eastAsia" w:eastAsia="楷体_GB2312"/>
          <w:sz w:val="24"/>
        </w:rPr>
        <w:t>2，2018</w:t>
      </w:r>
      <w:r>
        <w:rPr>
          <w:rFonts w:hint="eastAsia" w:eastAsia="仿宋_GB2312"/>
          <w:bCs/>
          <w:sz w:val="24"/>
        </w:rPr>
        <w:t>年版</w:t>
      </w:r>
      <w:r>
        <w:rPr>
          <w:rFonts w:hint="eastAsia" w:eastAsia="楷体_GB2312"/>
          <w:sz w:val="24"/>
        </w:rPr>
        <w:t>2</w:t>
      </w:r>
      <w:r>
        <w:rPr>
          <w:rFonts w:hint="eastAsia" w:eastAsia="仿宋_GB2312"/>
          <w:bCs/>
          <w:sz w:val="24"/>
        </w:rPr>
        <w:t>）</w:t>
      </w:r>
    </w:p>
    <w:p>
      <w:pPr>
        <w:spacing w:line="560" w:lineRule="exact"/>
        <w:ind w:firstLine="480" w:firstLineChars="200"/>
        <w:rPr>
          <w:sz w:val="24"/>
        </w:rPr>
      </w:pPr>
      <w:r>
        <w:rPr>
          <w:rFonts w:hint="eastAsia" w:eastAsia="仿宋_GB2312"/>
          <w:bCs/>
          <w:sz w:val="24"/>
        </w:rPr>
        <w:t>修订原因：由于部分标准已废止，因此用现行标准替代废止标准。</w:t>
      </w:r>
    </w:p>
    <w:p>
      <w:pPr>
        <w:spacing w:line="560" w:lineRule="exact"/>
        <w:ind w:firstLine="480" w:firstLineChars="200"/>
        <w:rPr>
          <w:rFonts w:eastAsia="楷体_GB2312"/>
          <w:sz w:val="24"/>
        </w:rPr>
      </w:pPr>
      <w:r>
        <w:rPr>
          <w:rFonts w:hint="eastAsia" w:eastAsia="仿宋_GB2312"/>
          <w:bCs/>
          <w:sz w:val="24"/>
        </w:rPr>
        <w:t>（3）删除了“节间短”（</w:t>
      </w:r>
      <w:r>
        <w:rPr>
          <w:rFonts w:hint="eastAsia" w:eastAsia="楷体_GB2312"/>
          <w:sz w:val="24"/>
        </w:rPr>
        <w:t>见6.3，2018</w:t>
      </w:r>
      <w:r>
        <w:rPr>
          <w:rFonts w:hint="eastAsia" w:eastAsia="仿宋_GB2312"/>
          <w:bCs/>
          <w:sz w:val="24"/>
        </w:rPr>
        <w:t>年版</w:t>
      </w:r>
      <w:r>
        <w:rPr>
          <w:rFonts w:hint="eastAsia" w:eastAsia="楷体_GB2312"/>
          <w:sz w:val="24"/>
        </w:rPr>
        <w:t>6.3</w:t>
      </w:r>
      <w:r>
        <w:rPr>
          <w:rFonts w:hint="eastAsia" w:eastAsia="仿宋_GB2312"/>
          <w:bCs/>
          <w:sz w:val="24"/>
        </w:rPr>
        <w:t>）</w:t>
      </w:r>
    </w:p>
    <w:p>
      <w:pPr>
        <w:spacing w:line="560" w:lineRule="exact"/>
        <w:ind w:firstLine="480" w:firstLineChars="200"/>
        <w:rPr>
          <w:rFonts w:eastAsia="楷体_GB2312"/>
          <w:sz w:val="24"/>
        </w:rPr>
      </w:pPr>
      <w:r>
        <w:rPr>
          <w:rFonts w:hint="eastAsia" w:eastAsia="仿宋_GB2312"/>
          <w:bCs/>
          <w:sz w:val="24"/>
        </w:rPr>
        <w:t>修订原因：文本中表述重复。</w:t>
      </w:r>
    </w:p>
    <w:p>
      <w:pPr>
        <w:spacing w:line="560" w:lineRule="exact"/>
        <w:ind w:firstLine="480" w:firstLineChars="200"/>
        <w:rPr>
          <w:rFonts w:eastAsia="楷体_GB2312"/>
          <w:sz w:val="24"/>
        </w:rPr>
      </w:pPr>
      <w:r>
        <w:rPr>
          <w:rFonts w:hint="eastAsia" w:eastAsia="仿宋_GB2312"/>
          <w:bCs/>
          <w:sz w:val="24"/>
        </w:rPr>
        <w:t>（4）删除了“温度调控”（见</w:t>
      </w:r>
      <w:r>
        <w:rPr>
          <w:rFonts w:hint="eastAsia" w:eastAsia="楷体_GB2312"/>
          <w:sz w:val="24"/>
        </w:rPr>
        <w:t>9.3，2018</w:t>
      </w:r>
      <w:r>
        <w:rPr>
          <w:rFonts w:hint="eastAsia" w:eastAsia="仿宋_GB2312"/>
          <w:bCs/>
          <w:sz w:val="24"/>
        </w:rPr>
        <w:t>年版</w:t>
      </w:r>
      <w:r>
        <w:rPr>
          <w:rFonts w:hint="eastAsia" w:eastAsia="楷体_GB2312"/>
          <w:sz w:val="24"/>
        </w:rPr>
        <w:t>9.3</w:t>
      </w:r>
      <w:r>
        <w:rPr>
          <w:rFonts w:hint="eastAsia" w:eastAsia="仿宋_GB2312"/>
          <w:bCs/>
          <w:sz w:val="24"/>
        </w:rPr>
        <w:t>）</w:t>
      </w:r>
    </w:p>
    <w:p>
      <w:pPr>
        <w:spacing w:line="560" w:lineRule="exact"/>
        <w:ind w:firstLine="480" w:firstLineChars="200"/>
        <w:rPr>
          <w:rFonts w:eastAsia="仿宋_GB2312"/>
          <w:bCs/>
          <w:sz w:val="24"/>
        </w:rPr>
      </w:pPr>
      <w:r>
        <w:rPr>
          <w:rFonts w:hint="eastAsia" w:eastAsia="仿宋_GB2312"/>
          <w:bCs/>
          <w:sz w:val="24"/>
        </w:rPr>
        <w:t>修订原因：文本中表述重复。</w:t>
      </w:r>
    </w:p>
    <w:p>
      <w:pPr>
        <w:spacing w:line="560" w:lineRule="exact"/>
        <w:ind w:firstLine="480" w:firstLineChars="200"/>
        <w:rPr>
          <w:rFonts w:eastAsia="仿宋_GB2312"/>
          <w:sz w:val="24"/>
        </w:rPr>
      </w:pPr>
      <w:r>
        <w:rPr>
          <w:rFonts w:eastAsia="楷体_GB2312"/>
          <w:sz w:val="24"/>
        </w:rPr>
        <w:t>3</w:t>
      </w:r>
      <w:r>
        <w:rPr>
          <w:rFonts w:hint="eastAsia" w:eastAsia="楷体_GB2312"/>
          <w:sz w:val="24"/>
        </w:rPr>
        <w:t>、</w:t>
      </w:r>
      <w:r>
        <w:rPr>
          <w:rFonts w:eastAsia="楷体_GB2312"/>
          <w:sz w:val="24"/>
        </w:rPr>
        <w:t>涉及到的技术指标主要有</w:t>
      </w:r>
      <w:r>
        <w:rPr>
          <w:rFonts w:hint="eastAsia" w:eastAsia="楷体_GB2312"/>
          <w:sz w:val="24"/>
        </w:rPr>
        <w:t>3</w:t>
      </w:r>
      <w:r>
        <w:rPr>
          <w:rFonts w:eastAsia="楷体_GB2312"/>
          <w:sz w:val="24"/>
        </w:rPr>
        <w:t>项：</w:t>
      </w:r>
    </w:p>
    <w:p>
      <w:pPr>
        <w:spacing w:line="560" w:lineRule="exact"/>
        <w:ind w:firstLine="480" w:firstLineChars="200"/>
        <w:rPr>
          <w:rFonts w:eastAsia="楷体_GB2312"/>
          <w:sz w:val="24"/>
        </w:rPr>
      </w:pPr>
      <w:r>
        <w:rPr>
          <w:rFonts w:hint="eastAsia" w:eastAsia="仿宋_GB2312"/>
          <w:bCs/>
          <w:sz w:val="24"/>
        </w:rPr>
        <w:t>（1）更改了大棚结构与性能（见</w:t>
      </w:r>
      <w:r>
        <w:rPr>
          <w:rFonts w:hint="eastAsia" w:eastAsia="楷体_GB2312"/>
          <w:sz w:val="24"/>
        </w:rPr>
        <w:t>4，2018</w:t>
      </w:r>
      <w:r>
        <w:rPr>
          <w:rFonts w:hint="eastAsia" w:eastAsia="仿宋_GB2312"/>
          <w:bCs/>
          <w:sz w:val="24"/>
        </w:rPr>
        <w:t>年版</w:t>
      </w:r>
      <w:r>
        <w:rPr>
          <w:rFonts w:hint="eastAsia" w:eastAsia="楷体_GB2312"/>
          <w:sz w:val="24"/>
        </w:rPr>
        <w:t>4</w:t>
      </w:r>
      <w:r>
        <w:rPr>
          <w:rFonts w:hint="eastAsia" w:eastAsia="仿宋_GB2312"/>
          <w:bCs/>
          <w:sz w:val="24"/>
        </w:rPr>
        <w:t>）</w:t>
      </w:r>
    </w:p>
    <w:p>
      <w:pPr>
        <w:widowControl/>
        <w:spacing w:line="560" w:lineRule="exact"/>
        <w:ind w:firstLine="480" w:firstLineChars="200"/>
        <w:rPr>
          <w:rFonts w:eastAsia="仿宋_GB2312"/>
          <w:bCs/>
          <w:sz w:val="24"/>
        </w:rPr>
      </w:pPr>
      <w:r>
        <w:rPr>
          <w:rFonts w:hint="eastAsia" w:eastAsia="仿宋_GB2312"/>
          <w:bCs/>
          <w:sz w:val="24"/>
        </w:rPr>
        <w:t>修订原因：由于JB/T 10594</w:t>
      </w:r>
      <w:r>
        <w:rPr>
          <w:rFonts w:eastAsia="仿宋_GB2312"/>
          <w:color w:val="000000"/>
          <w:sz w:val="24"/>
        </w:rPr>
        <w:t>《</w:t>
      </w:r>
      <w:r>
        <w:rPr>
          <w:rFonts w:hint="eastAsia" w:eastAsia="仿宋_GB2312"/>
          <w:bCs/>
          <w:sz w:val="24"/>
        </w:rPr>
        <w:t>日光温室和塑料大棚结构与性能要求</w:t>
      </w:r>
      <w:r>
        <w:rPr>
          <w:rFonts w:eastAsia="仿宋_GB2312"/>
          <w:color w:val="000000"/>
          <w:sz w:val="24"/>
        </w:rPr>
        <w:t>》</w:t>
      </w:r>
      <w:r>
        <w:rPr>
          <w:rFonts w:hint="eastAsia" w:eastAsia="仿宋_GB2312"/>
          <w:bCs/>
          <w:sz w:val="24"/>
        </w:rPr>
        <w:t>已废止，故</w:t>
      </w:r>
      <w:r>
        <w:rPr>
          <w:rFonts w:eastAsia="仿宋_GB2312"/>
          <w:bCs/>
          <w:sz w:val="24"/>
        </w:rPr>
        <w:t>将</w:t>
      </w:r>
      <w:r>
        <w:rPr>
          <w:rFonts w:hint="eastAsia" w:eastAsia="仿宋_GB2312"/>
          <w:bCs/>
          <w:sz w:val="24"/>
        </w:rPr>
        <w:t>“塑料大棚结构与性能执行JB/T 10594的规定。</w:t>
      </w:r>
      <w:r>
        <w:rPr>
          <w:rFonts w:hint="eastAsia" w:ascii="仿宋_GB2312" w:eastAsia="仿宋_GB2312"/>
          <w:sz w:val="24"/>
        </w:rPr>
        <w:t>”</w:t>
      </w:r>
      <w:r>
        <w:rPr>
          <w:rFonts w:eastAsia="仿宋_GB2312"/>
          <w:bCs/>
          <w:sz w:val="24"/>
        </w:rPr>
        <w:t>修订为</w:t>
      </w:r>
      <w:r>
        <w:rPr>
          <w:rFonts w:hint="eastAsia" w:eastAsia="仿宋_GB2312"/>
          <w:bCs/>
          <w:sz w:val="24"/>
        </w:rPr>
        <w:t>“</w:t>
      </w:r>
      <w:r>
        <w:rPr>
          <w:rFonts w:eastAsia="仿宋_GB2312"/>
          <w:bCs/>
          <w:sz w:val="24"/>
        </w:rPr>
        <w:t>塑料大棚结构与性能</w:t>
      </w:r>
      <w:r>
        <w:rPr>
          <w:rFonts w:hint="eastAsia" w:eastAsia="仿宋_GB2312"/>
          <w:bCs/>
          <w:sz w:val="24"/>
        </w:rPr>
        <w:t>执行</w:t>
      </w:r>
      <w:r>
        <w:rPr>
          <w:rFonts w:eastAsia="仿宋_GB2312"/>
          <w:bCs/>
          <w:sz w:val="24"/>
        </w:rPr>
        <w:t>GB/T 38757的规定。</w:t>
      </w:r>
      <w:r>
        <w:rPr>
          <w:rFonts w:hint="eastAsia" w:ascii="仿宋_GB2312" w:eastAsia="仿宋_GB2312"/>
          <w:sz w:val="24"/>
        </w:rPr>
        <w:t>”</w:t>
      </w:r>
    </w:p>
    <w:p>
      <w:pPr>
        <w:spacing w:line="560" w:lineRule="exact"/>
        <w:ind w:firstLine="480" w:firstLineChars="200"/>
        <w:rPr>
          <w:rFonts w:eastAsia="楷体_GB2312"/>
          <w:sz w:val="24"/>
        </w:rPr>
      </w:pPr>
      <w:r>
        <w:rPr>
          <w:rFonts w:hint="eastAsia" w:eastAsia="仿宋_GB2312"/>
          <w:bCs/>
          <w:sz w:val="24"/>
        </w:rPr>
        <w:t>（2）更改了水肥管理（见</w:t>
      </w:r>
      <w:r>
        <w:rPr>
          <w:rFonts w:hint="eastAsia" w:eastAsia="楷体_GB2312"/>
          <w:sz w:val="24"/>
        </w:rPr>
        <w:t>9.4，2018</w:t>
      </w:r>
      <w:r>
        <w:rPr>
          <w:rFonts w:hint="eastAsia" w:eastAsia="仿宋_GB2312"/>
          <w:bCs/>
          <w:sz w:val="24"/>
        </w:rPr>
        <w:t>年版</w:t>
      </w:r>
      <w:r>
        <w:rPr>
          <w:rFonts w:hint="eastAsia" w:eastAsia="楷体_GB2312"/>
          <w:sz w:val="24"/>
        </w:rPr>
        <w:t>9.4</w:t>
      </w:r>
      <w:r>
        <w:rPr>
          <w:rFonts w:hint="eastAsia" w:eastAsia="仿宋_GB2312"/>
          <w:bCs/>
          <w:sz w:val="24"/>
        </w:rPr>
        <w:t>）</w:t>
      </w:r>
    </w:p>
    <w:p>
      <w:pPr>
        <w:widowControl/>
        <w:spacing w:line="560" w:lineRule="exact"/>
        <w:ind w:firstLine="480" w:firstLineChars="200"/>
        <w:rPr>
          <w:rFonts w:eastAsia="仿宋_GB2312"/>
          <w:color w:val="000000"/>
          <w:sz w:val="24"/>
        </w:rPr>
      </w:pPr>
      <w:r>
        <w:rPr>
          <w:rFonts w:hint="eastAsia" w:eastAsia="仿宋_GB2312"/>
          <w:bCs/>
          <w:sz w:val="24"/>
        </w:rPr>
        <w:t>修订原因：</w:t>
      </w:r>
      <w:r>
        <w:rPr>
          <w:rFonts w:eastAsia="仿宋_GB2312"/>
          <w:bCs/>
          <w:sz w:val="24"/>
        </w:rPr>
        <w:t>NY/T 3696</w:t>
      </w:r>
      <w:r>
        <w:rPr>
          <w:rFonts w:eastAsia="仿宋_GB2312"/>
          <w:color w:val="000000"/>
          <w:sz w:val="24"/>
        </w:rPr>
        <w:t>《</w:t>
      </w:r>
      <w:r>
        <w:rPr>
          <w:rFonts w:eastAsia="仿宋_GB2312"/>
          <w:bCs/>
          <w:sz w:val="24"/>
        </w:rPr>
        <w:t>设施蔬菜水肥一体化技术规范</w:t>
      </w:r>
      <w:r>
        <w:rPr>
          <w:rFonts w:eastAsia="仿宋_GB2312"/>
          <w:color w:val="000000"/>
          <w:sz w:val="24"/>
        </w:rPr>
        <w:t>》</w:t>
      </w:r>
      <w:r>
        <w:rPr>
          <w:rFonts w:hint="eastAsia" w:eastAsia="仿宋_GB2312"/>
          <w:color w:val="000000"/>
          <w:sz w:val="24"/>
        </w:rPr>
        <w:t>对</w:t>
      </w:r>
      <w:r>
        <w:rPr>
          <w:rFonts w:eastAsia="仿宋_GB2312"/>
          <w:bCs/>
          <w:sz w:val="24"/>
        </w:rPr>
        <w:t>水肥一体化技术</w:t>
      </w:r>
      <w:r>
        <w:rPr>
          <w:rFonts w:hint="eastAsia" w:eastAsia="仿宋_GB2312"/>
          <w:bCs/>
          <w:sz w:val="24"/>
        </w:rPr>
        <w:t>有规定，</w:t>
      </w:r>
      <w:r>
        <w:rPr>
          <w:rFonts w:eastAsia="仿宋_GB2312"/>
          <w:bCs/>
          <w:sz w:val="24"/>
        </w:rPr>
        <w:t>将</w:t>
      </w:r>
      <w:r>
        <w:rPr>
          <w:rFonts w:hint="eastAsia" w:eastAsia="仿宋_GB2312"/>
          <w:bCs/>
          <w:sz w:val="24"/>
        </w:rPr>
        <w:t>“采用水肥一体化技术，肥料符合NY/T 496的规定。</w:t>
      </w:r>
      <w:r>
        <w:rPr>
          <w:rFonts w:hint="eastAsia" w:ascii="仿宋_GB2312" w:eastAsia="仿宋_GB2312"/>
          <w:sz w:val="24"/>
        </w:rPr>
        <w:t>”</w:t>
      </w:r>
      <w:r>
        <w:rPr>
          <w:rFonts w:eastAsia="仿宋_GB2312"/>
          <w:bCs/>
          <w:sz w:val="24"/>
        </w:rPr>
        <w:t>修订为</w:t>
      </w:r>
      <w:r>
        <w:rPr>
          <w:rFonts w:hint="eastAsia" w:eastAsia="仿宋_GB2312"/>
          <w:bCs/>
          <w:sz w:val="24"/>
        </w:rPr>
        <w:t>“</w:t>
      </w:r>
      <w:r>
        <w:rPr>
          <w:rFonts w:eastAsia="仿宋_GB2312"/>
          <w:bCs/>
          <w:sz w:val="24"/>
        </w:rPr>
        <w:t>水肥一体化技术执行NY/T 3696的规定。</w:t>
      </w:r>
      <w:r>
        <w:rPr>
          <w:rFonts w:hint="eastAsia" w:ascii="仿宋_GB2312" w:eastAsia="仿宋_GB2312"/>
          <w:sz w:val="24"/>
        </w:rPr>
        <w:t>”</w:t>
      </w:r>
      <w:r>
        <w:rPr>
          <w:rFonts w:hint="eastAsia" w:eastAsia="仿宋_GB2312"/>
          <w:bCs/>
          <w:sz w:val="24"/>
        </w:rPr>
        <w:t>参照</w:t>
      </w:r>
      <w:r>
        <w:rPr>
          <w:rFonts w:eastAsia="仿宋_GB2312"/>
          <w:bCs/>
          <w:sz w:val="24"/>
        </w:rPr>
        <w:t>NY/T 3696</w:t>
      </w:r>
      <w:r>
        <w:rPr>
          <w:rFonts w:eastAsia="仿宋_GB2312"/>
          <w:color w:val="000000"/>
          <w:sz w:val="24"/>
        </w:rPr>
        <w:t>《</w:t>
      </w:r>
      <w:r>
        <w:rPr>
          <w:rFonts w:eastAsia="仿宋_GB2312"/>
          <w:bCs/>
          <w:sz w:val="24"/>
        </w:rPr>
        <w:t>设施蔬菜水肥一体化技术规范</w:t>
      </w:r>
      <w:r>
        <w:rPr>
          <w:rFonts w:eastAsia="仿宋_GB2312"/>
          <w:color w:val="000000"/>
          <w:sz w:val="24"/>
        </w:rPr>
        <w:t>》</w:t>
      </w:r>
      <w:r>
        <w:rPr>
          <w:rFonts w:hint="eastAsia" w:eastAsia="仿宋_GB2312"/>
          <w:color w:val="000000"/>
          <w:sz w:val="24"/>
        </w:rPr>
        <w:t>的规范写法。</w:t>
      </w:r>
    </w:p>
    <w:p>
      <w:pPr>
        <w:spacing w:line="560" w:lineRule="exact"/>
        <w:ind w:firstLine="480" w:firstLineChars="200"/>
        <w:rPr>
          <w:rFonts w:eastAsia="楷体_GB2312"/>
          <w:sz w:val="24"/>
        </w:rPr>
      </w:pPr>
      <w:r>
        <w:rPr>
          <w:rFonts w:hint="eastAsia" w:eastAsia="仿宋_GB2312"/>
          <w:bCs/>
          <w:sz w:val="24"/>
        </w:rPr>
        <w:t>（3）更改了病虫害防治（见</w:t>
      </w:r>
      <w:r>
        <w:rPr>
          <w:rFonts w:hint="eastAsia" w:eastAsia="楷体_GB2312"/>
          <w:sz w:val="24"/>
        </w:rPr>
        <w:t>11，2018</w:t>
      </w:r>
      <w:r>
        <w:rPr>
          <w:rFonts w:hint="eastAsia" w:eastAsia="仿宋_GB2312"/>
          <w:bCs/>
          <w:sz w:val="24"/>
        </w:rPr>
        <w:t>年版</w:t>
      </w:r>
      <w:r>
        <w:rPr>
          <w:rFonts w:hint="eastAsia" w:eastAsia="楷体_GB2312"/>
          <w:sz w:val="24"/>
        </w:rPr>
        <w:t>11</w:t>
      </w:r>
      <w:r>
        <w:rPr>
          <w:rFonts w:hint="eastAsia" w:eastAsia="仿宋_GB2312"/>
          <w:bCs/>
          <w:sz w:val="24"/>
        </w:rPr>
        <w:t>）</w:t>
      </w:r>
    </w:p>
    <w:p>
      <w:pPr>
        <w:widowControl/>
        <w:spacing w:line="560" w:lineRule="exact"/>
        <w:ind w:firstLine="480" w:firstLineChars="200"/>
        <w:rPr>
          <w:rFonts w:eastAsia="仿宋_GB2312"/>
          <w:bCs/>
          <w:sz w:val="24"/>
        </w:rPr>
      </w:pPr>
      <w:r>
        <w:rPr>
          <w:rFonts w:hint="eastAsia" w:eastAsia="仿宋_GB2312"/>
          <w:bCs/>
          <w:sz w:val="24"/>
        </w:rPr>
        <w:t>修订原因：由于山西省地方标准DB14/T 636《无公害西葫芦设施生产技术规程》已废止，故</w:t>
      </w:r>
      <w:r>
        <w:rPr>
          <w:rFonts w:eastAsia="仿宋_GB2312"/>
          <w:bCs/>
          <w:sz w:val="24"/>
        </w:rPr>
        <w:t>将</w:t>
      </w:r>
      <w:r>
        <w:rPr>
          <w:rFonts w:hint="eastAsia" w:eastAsia="仿宋_GB2312"/>
          <w:bCs/>
          <w:sz w:val="24"/>
        </w:rPr>
        <w:t>“</w:t>
      </w:r>
      <w:r>
        <w:rPr>
          <w:rFonts w:eastAsia="仿宋_GB2312"/>
          <w:bCs/>
          <w:sz w:val="24"/>
        </w:rPr>
        <w:t>具体防治措施执行DB14/T 636</w:t>
      </w:r>
      <w:r>
        <w:rPr>
          <w:rFonts w:hint="eastAsia" w:eastAsia="仿宋_GB2312"/>
          <w:bCs/>
          <w:sz w:val="24"/>
        </w:rPr>
        <w:t>的</w:t>
      </w:r>
      <w:r>
        <w:rPr>
          <w:rFonts w:eastAsia="仿宋_GB2312"/>
          <w:bCs/>
          <w:sz w:val="24"/>
        </w:rPr>
        <w:t>规定。</w:t>
      </w:r>
      <w:r>
        <w:rPr>
          <w:rFonts w:hint="eastAsia" w:ascii="仿宋_GB2312" w:eastAsia="仿宋_GB2312"/>
          <w:sz w:val="24"/>
        </w:rPr>
        <w:t>”</w:t>
      </w:r>
      <w:r>
        <w:rPr>
          <w:rFonts w:eastAsia="仿宋_GB2312"/>
          <w:bCs/>
          <w:sz w:val="24"/>
        </w:rPr>
        <w:t>修订为</w:t>
      </w:r>
      <w:r>
        <w:rPr>
          <w:rFonts w:hint="eastAsia" w:eastAsia="仿宋_GB2312"/>
          <w:bCs/>
          <w:sz w:val="24"/>
        </w:rPr>
        <w:t>“</w:t>
      </w:r>
      <w:r>
        <w:rPr>
          <w:rFonts w:eastAsia="仿宋_GB2312"/>
          <w:bCs/>
          <w:sz w:val="24"/>
        </w:rPr>
        <w:t xml:space="preserve">具体防治措施执行NY/T </w:t>
      </w:r>
      <w:r>
        <w:rPr>
          <w:rFonts w:hint="eastAsia" w:eastAsia="仿宋_GB2312"/>
          <w:bCs/>
          <w:sz w:val="24"/>
        </w:rPr>
        <w:t>5220的</w:t>
      </w:r>
      <w:r>
        <w:rPr>
          <w:rFonts w:eastAsia="仿宋_GB2312"/>
          <w:bCs/>
          <w:sz w:val="24"/>
        </w:rPr>
        <w:t>规定。</w:t>
      </w:r>
      <w:r>
        <w:rPr>
          <w:rFonts w:hint="eastAsia" w:ascii="仿宋_GB2312" w:eastAsia="仿宋_GB2312"/>
          <w:sz w:val="24"/>
        </w:rPr>
        <w:t>”</w:t>
      </w:r>
    </w:p>
    <w:p>
      <w:pPr>
        <w:numPr>
          <w:ilvl w:val="0"/>
          <w:numId w:val="3"/>
        </w:numPr>
        <w:spacing w:line="560" w:lineRule="exact"/>
        <w:ind w:firstLine="480" w:firstLineChars="200"/>
        <w:rPr>
          <w:rFonts w:eastAsia="楷体_GB2312"/>
          <w:sz w:val="24"/>
        </w:rPr>
      </w:pPr>
      <w:r>
        <w:rPr>
          <w:rFonts w:hint="eastAsia" w:eastAsia="楷体_GB2312"/>
          <w:sz w:val="24"/>
        </w:rPr>
        <w:t>主要试验验证分析</w:t>
      </w:r>
    </w:p>
    <w:p>
      <w:pPr>
        <w:spacing w:line="560" w:lineRule="exact"/>
        <w:ind w:firstLine="480" w:firstLineChars="200"/>
        <w:rPr>
          <w:rFonts w:hint="eastAsia" w:ascii="Times New Roman" w:hAnsi="Times New Roman" w:eastAsia="仿宋_GB2312" w:cs="Times New Roman"/>
          <w:sz w:val="24"/>
        </w:rPr>
      </w:pPr>
      <w:r>
        <w:rPr>
          <w:rFonts w:hint="eastAsia" w:ascii="Times New Roman" w:hAnsi="Times New Roman" w:eastAsia="仿宋_GB2312" w:cs="Times New Roman"/>
          <w:sz w:val="24"/>
        </w:rPr>
        <w:t>由</w:t>
      </w:r>
      <w:r>
        <w:rPr>
          <w:rFonts w:hint="eastAsia" w:ascii="Times New Roman" w:hAnsi="Times New Roman" w:eastAsia="仿宋_GB2312" w:cs="Times New Roman"/>
          <w:sz w:val="24"/>
          <w:lang w:val="en-US" w:eastAsia="zh-CN"/>
        </w:rPr>
        <w:t>表1</w:t>
      </w:r>
      <w:r>
        <w:rPr>
          <w:rFonts w:hint="eastAsia" w:ascii="Times New Roman" w:hAnsi="Times New Roman" w:eastAsia="仿宋_GB2312" w:cs="Times New Roman"/>
          <w:sz w:val="24"/>
        </w:rPr>
        <w:t>可以看出，与正常栽培条件相比，CO</w:t>
      </w:r>
      <w:r>
        <w:rPr>
          <w:rFonts w:hint="eastAsia" w:ascii="Times New Roman" w:hAnsi="Times New Roman" w:eastAsia="仿宋_GB2312" w:cs="Times New Roman"/>
          <w:sz w:val="24"/>
          <w:vertAlign w:val="subscript"/>
        </w:rPr>
        <w:t>2</w:t>
      </w:r>
      <w:r>
        <w:rPr>
          <w:rFonts w:hint="eastAsia" w:ascii="Times New Roman" w:hAnsi="Times New Roman" w:eastAsia="仿宋_GB2312" w:cs="Times New Roman"/>
          <w:sz w:val="24"/>
        </w:rPr>
        <w:t>加富使叶片净光合速率（Pn）、增加</w:t>
      </w:r>
      <w:r>
        <w:rPr>
          <w:rFonts w:hint="eastAsia" w:eastAsia="仿宋_GB2312" w:cs="Times New Roman"/>
          <w:sz w:val="24"/>
          <w:lang w:val="en-US" w:eastAsia="zh-CN"/>
        </w:rPr>
        <w:t>45.30</w:t>
      </w:r>
      <w:r>
        <w:rPr>
          <w:rFonts w:hint="eastAsia" w:ascii="Times New Roman" w:hAnsi="Times New Roman" w:eastAsia="仿宋_GB2312" w:cs="Times New Roman"/>
          <w:sz w:val="24"/>
        </w:rPr>
        <w:t>%</w:t>
      </w:r>
      <w:r>
        <w:rPr>
          <w:rFonts w:hint="eastAsia" w:eastAsia="仿宋_GB2312" w:cs="Times New Roman"/>
          <w:sz w:val="24"/>
          <w:lang w:eastAsia="zh-CN"/>
        </w:rPr>
        <w:t>、</w:t>
      </w:r>
      <w:r>
        <w:rPr>
          <w:rFonts w:hint="eastAsia" w:ascii="Times New Roman" w:hAnsi="Times New Roman" w:eastAsia="仿宋_GB2312" w:cs="Times New Roman"/>
          <w:sz w:val="24"/>
        </w:rPr>
        <w:t>气孔导度（Gs）</w:t>
      </w:r>
      <w:r>
        <w:rPr>
          <w:rFonts w:hint="eastAsia" w:eastAsia="仿宋_GB2312" w:cs="Times New Roman"/>
          <w:sz w:val="24"/>
          <w:lang w:val="en-US" w:eastAsia="zh-CN"/>
        </w:rPr>
        <w:t>降低37.36</w:t>
      </w:r>
      <w:r>
        <w:rPr>
          <w:rFonts w:hint="eastAsia" w:ascii="Times New Roman" w:hAnsi="Times New Roman" w:eastAsia="仿宋_GB2312" w:cs="Times New Roman"/>
          <w:sz w:val="24"/>
        </w:rPr>
        <w:t>%。</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eastAsia="仿宋_GB2312"/>
          <w:sz w:val="24"/>
        </w:rPr>
      </w:pPr>
      <w:r>
        <w:rPr>
          <w:rFonts w:eastAsia="仿宋_GB2312"/>
          <w:sz w:val="24"/>
        </w:rPr>
        <w:t>表1  CO</w:t>
      </w:r>
      <w:r>
        <w:rPr>
          <w:rFonts w:eastAsia="仿宋_GB2312"/>
          <w:sz w:val="24"/>
          <w:vertAlign w:val="subscript"/>
        </w:rPr>
        <w:t>2</w:t>
      </w:r>
      <w:r>
        <w:rPr>
          <w:rFonts w:eastAsia="仿宋_GB2312"/>
          <w:sz w:val="24"/>
        </w:rPr>
        <w:t>加富对</w:t>
      </w:r>
      <w:r>
        <w:rPr>
          <w:rFonts w:hint="eastAsia" w:eastAsia="仿宋_GB2312"/>
          <w:sz w:val="24"/>
          <w:lang w:val="en-US" w:eastAsia="zh-CN"/>
        </w:rPr>
        <w:t>西葫芦</w:t>
      </w:r>
      <w:r>
        <w:rPr>
          <w:rFonts w:eastAsia="仿宋_GB2312"/>
          <w:sz w:val="24"/>
        </w:rPr>
        <w:t>光合参数的影响</w:t>
      </w:r>
    </w:p>
    <w:tbl>
      <w:tblPr>
        <w:tblStyle w:val="14"/>
        <w:tblpPr w:leftFromText="180" w:rightFromText="180" w:vertAnchor="text" w:horzAnchor="page" w:tblpX="2062" w:tblpY="350"/>
        <w:tblOverlap w:val="never"/>
        <w:tblW w:w="87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1"/>
        <w:gridCol w:w="3162"/>
        <w:gridCol w:w="3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2141" w:type="dxa"/>
            <w:tcBorders>
              <w:left w:val="nil"/>
              <w:bottom w:val="single" w:color="auto" w:sz="4" w:space="0"/>
              <w:right w:val="nil"/>
            </w:tcBorders>
            <w:shd w:val="clear" w:color="000000" w:fill="FFFFFF"/>
            <w:vAlign w:val="center"/>
          </w:tcPr>
          <w:p>
            <w:pPr>
              <w:widowControl/>
              <w:spacing w:line="360" w:lineRule="auto"/>
              <w:jc w:val="center"/>
              <w:rPr>
                <w:rFonts w:hint="eastAsia" w:eastAsia="仿宋_GB2312"/>
                <w:sz w:val="28"/>
                <w:szCs w:val="28"/>
                <w:lang w:val="en-US" w:eastAsia="zh-CN"/>
              </w:rPr>
            </w:pPr>
            <w:r>
              <w:rPr>
                <w:rFonts w:hint="eastAsia" w:ascii="Times New Roman" w:hAnsi="Times New Roman" w:eastAsia="仿宋_GB2312" w:cs="Times New Roman"/>
                <w:color w:val="000000"/>
                <w:kern w:val="0"/>
                <w:szCs w:val="21"/>
                <w:lang w:val="en-US" w:eastAsia="zh-CN"/>
              </w:rPr>
              <w:t>处理</w:t>
            </w:r>
          </w:p>
        </w:tc>
        <w:tc>
          <w:tcPr>
            <w:tcW w:w="3162" w:type="dxa"/>
            <w:tcBorders>
              <w:left w:val="nil"/>
              <w:bottom w:val="single" w:color="auto" w:sz="4" w:space="0"/>
              <w:right w:val="nil"/>
            </w:tcBorders>
            <w:shd w:val="clear" w:color="auto" w:fill="FFFFFF"/>
            <w:vAlign w:val="center"/>
          </w:tcPr>
          <w:p>
            <w:pPr>
              <w:widowControl/>
              <w:spacing w:line="360" w:lineRule="auto"/>
              <w:jc w:val="center"/>
              <w:rPr>
                <w:rFonts w:eastAsia="仿宋_GB2312"/>
                <w:szCs w:val="21"/>
              </w:rPr>
            </w:pPr>
            <w:r>
              <w:rPr>
                <w:rFonts w:eastAsia="仿宋_GB2312"/>
                <w:color w:val="000000"/>
                <w:kern w:val="0"/>
                <w:szCs w:val="21"/>
              </w:rPr>
              <w:t>净光合速率(μmol CO</w:t>
            </w:r>
            <w:r>
              <w:rPr>
                <w:rFonts w:eastAsia="仿宋_GB2312"/>
                <w:color w:val="000000"/>
                <w:kern w:val="0"/>
                <w:szCs w:val="21"/>
                <w:vertAlign w:val="subscript"/>
              </w:rPr>
              <w:t>2</w:t>
            </w:r>
            <w:r>
              <w:rPr>
                <w:rFonts w:eastAsia="仿宋_GB2312"/>
                <w:color w:val="000000"/>
                <w:kern w:val="0"/>
                <w:szCs w:val="21"/>
              </w:rPr>
              <w:t xml:space="preserve"> m</w:t>
            </w:r>
            <w:r>
              <w:rPr>
                <w:rFonts w:eastAsia="仿宋_GB2312"/>
                <w:color w:val="000000"/>
                <w:kern w:val="0"/>
                <w:szCs w:val="21"/>
                <w:vertAlign w:val="superscript"/>
              </w:rPr>
              <w:t>-2</w:t>
            </w:r>
            <w:r>
              <w:rPr>
                <w:rFonts w:eastAsia="仿宋_GB2312"/>
                <w:color w:val="000000"/>
                <w:kern w:val="0"/>
                <w:szCs w:val="21"/>
              </w:rPr>
              <w:t xml:space="preserve"> s</w:t>
            </w:r>
            <w:r>
              <w:rPr>
                <w:rFonts w:eastAsia="仿宋_GB2312"/>
                <w:color w:val="000000"/>
                <w:kern w:val="0"/>
                <w:szCs w:val="21"/>
                <w:vertAlign w:val="superscript"/>
              </w:rPr>
              <w:t>-1</w:t>
            </w:r>
            <w:r>
              <w:rPr>
                <w:rFonts w:eastAsia="仿宋_GB2312"/>
                <w:color w:val="000000"/>
                <w:kern w:val="0"/>
                <w:szCs w:val="21"/>
              </w:rPr>
              <w:t>)</w:t>
            </w:r>
          </w:p>
        </w:tc>
        <w:tc>
          <w:tcPr>
            <w:tcW w:w="3414" w:type="dxa"/>
            <w:tcBorders>
              <w:left w:val="nil"/>
              <w:bottom w:val="single" w:color="auto" w:sz="4" w:space="0"/>
              <w:right w:val="nil"/>
            </w:tcBorders>
            <w:shd w:val="clear" w:color="auto" w:fill="FFFFFF"/>
            <w:vAlign w:val="center"/>
          </w:tcPr>
          <w:p>
            <w:pPr>
              <w:widowControl/>
              <w:spacing w:line="360" w:lineRule="auto"/>
              <w:jc w:val="center"/>
              <w:rPr>
                <w:rFonts w:ascii="Times New Roman" w:hAnsi="Times New Roman" w:eastAsia="宋体" w:cs="Times New Roman"/>
                <w:color w:val="000000"/>
                <w:kern w:val="0"/>
                <w:sz w:val="21"/>
                <w:szCs w:val="21"/>
              </w:rPr>
            </w:pPr>
            <w:r>
              <w:rPr>
                <w:rFonts w:hint="eastAsia" w:ascii="Times New Roman" w:hAnsi="Times New Roman" w:eastAsia="仿宋_GB2312" w:cs="Times New Roman"/>
                <w:color w:val="000000"/>
                <w:kern w:val="0"/>
                <w:szCs w:val="21"/>
              </w:rPr>
              <w:t>气孔导度</w:t>
            </w:r>
            <w:r>
              <w:rPr>
                <w:rFonts w:ascii="Times New Roman" w:hAnsi="Times New Roman" w:eastAsia="宋体" w:cs="Times New Roman"/>
                <w:color w:val="000000"/>
                <w:kern w:val="0"/>
                <w:sz w:val="21"/>
                <w:szCs w:val="21"/>
              </w:rPr>
              <w:t>(mol·m</w:t>
            </w:r>
            <w:r>
              <w:rPr>
                <w:rFonts w:ascii="Times New Roman" w:hAnsi="Times New Roman" w:eastAsia="宋体" w:cs="Times New Roman"/>
                <w:color w:val="000000"/>
                <w:kern w:val="0"/>
                <w:sz w:val="21"/>
                <w:szCs w:val="21"/>
                <w:vertAlign w:val="superscript"/>
              </w:rPr>
              <w:t>-2</w:t>
            </w:r>
            <w:r>
              <w:rPr>
                <w:rFonts w:ascii="Times New Roman" w:hAnsi="Times New Roman" w:eastAsia="宋体" w:cs="Times New Roman"/>
                <w:color w:val="000000"/>
                <w:kern w:val="0"/>
                <w:sz w:val="21"/>
                <w:szCs w:val="21"/>
              </w:rPr>
              <w:t>·s</w:t>
            </w:r>
            <w:r>
              <w:rPr>
                <w:rFonts w:ascii="Times New Roman" w:hAnsi="Times New Roman" w:eastAsia="宋体" w:cs="Times New Roman"/>
                <w:color w:val="000000"/>
                <w:kern w:val="0"/>
                <w:sz w:val="21"/>
                <w:szCs w:val="21"/>
                <w:vertAlign w:val="superscript"/>
              </w:rPr>
              <w:t>-1</w:t>
            </w:r>
            <w:r>
              <w:rPr>
                <w:rFonts w:ascii="Times New Roman" w:hAnsi="Times New Roman" w:eastAsia="宋体" w:cs="Times New Roman"/>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141" w:type="dxa"/>
            <w:tcBorders>
              <w:top w:val="single" w:color="auto" w:sz="4" w:space="0"/>
              <w:left w:val="nil"/>
              <w:bottom w:val="nil"/>
              <w:right w:val="nil"/>
            </w:tcBorders>
            <w:shd w:val="clear" w:color="auto" w:fill="FFFFFF"/>
            <w:vAlign w:val="center"/>
          </w:tcPr>
          <w:p>
            <w:pPr>
              <w:spacing w:line="360" w:lineRule="auto"/>
              <w:jc w:val="center"/>
              <w:rPr>
                <w:rFonts w:eastAsia="仿宋_GB2312"/>
                <w:color w:val="000000"/>
                <w:kern w:val="0"/>
                <w:szCs w:val="21"/>
              </w:rPr>
            </w:pPr>
            <w:r>
              <w:rPr>
                <w:rFonts w:eastAsia="仿宋_GB2312"/>
                <w:sz w:val="21"/>
                <w:szCs w:val="21"/>
              </w:rPr>
              <w:t>CO</w:t>
            </w:r>
            <w:r>
              <w:rPr>
                <w:rFonts w:eastAsia="仿宋_GB2312"/>
                <w:sz w:val="21"/>
                <w:szCs w:val="21"/>
                <w:vertAlign w:val="subscript"/>
              </w:rPr>
              <w:t>2</w:t>
            </w:r>
            <w:r>
              <w:rPr>
                <w:rFonts w:eastAsia="仿宋_GB2312"/>
                <w:sz w:val="21"/>
                <w:szCs w:val="21"/>
              </w:rPr>
              <w:t>加富</w:t>
            </w:r>
          </w:p>
        </w:tc>
        <w:tc>
          <w:tcPr>
            <w:tcW w:w="3162" w:type="dxa"/>
            <w:tcBorders>
              <w:top w:val="single" w:color="auto" w:sz="4" w:space="0"/>
              <w:left w:val="nil"/>
              <w:bottom w:val="nil"/>
              <w:right w:val="nil"/>
            </w:tcBorders>
            <w:shd w:val="clear" w:color="auto" w:fill="FFFFFF"/>
            <w:vAlign w:val="center"/>
          </w:tcPr>
          <w:p>
            <w:pPr>
              <w:widowControl/>
              <w:spacing w:line="360" w:lineRule="auto"/>
              <w:jc w:val="center"/>
              <w:rPr>
                <w:rFonts w:eastAsia="仿宋_GB2312"/>
                <w:szCs w:val="21"/>
              </w:rPr>
            </w:pPr>
            <w:r>
              <w:rPr>
                <w:rFonts w:hint="eastAsia" w:eastAsia="仿宋_GB2312"/>
                <w:color w:val="000000"/>
                <w:szCs w:val="21"/>
                <w:lang w:val="en-US" w:eastAsia="zh-CN"/>
              </w:rPr>
              <w:t>36.76</w:t>
            </w:r>
            <w:r>
              <w:rPr>
                <w:rFonts w:eastAsia="仿宋_GB2312"/>
                <w:bCs/>
                <w:color w:val="000000"/>
                <w:kern w:val="15"/>
                <w:szCs w:val="21"/>
              </w:rPr>
              <w:t>±</w:t>
            </w:r>
            <w:r>
              <w:rPr>
                <w:rFonts w:eastAsia="仿宋_GB2312"/>
                <w:color w:val="000000"/>
                <w:szCs w:val="21"/>
              </w:rPr>
              <w:t xml:space="preserve">0.17 </w:t>
            </w:r>
            <w:r>
              <w:rPr>
                <w:rFonts w:eastAsia="仿宋_GB2312"/>
                <w:color w:val="000000"/>
                <w:kern w:val="0"/>
                <w:szCs w:val="21"/>
              </w:rPr>
              <w:t>A</w:t>
            </w:r>
          </w:p>
        </w:tc>
        <w:tc>
          <w:tcPr>
            <w:tcW w:w="3414" w:type="dxa"/>
            <w:tcBorders>
              <w:top w:val="single" w:color="auto" w:sz="4" w:space="0"/>
              <w:left w:val="nil"/>
              <w:bottom w:val="nil"/>
              <w:right w:val="nil"/>
            </w:tcBorders>
            <w:shd w:val="clear" w:color="auto" w:fill="FFFFFF"/>
            <w:vAlign w:val="center"/>
          </w:tcPr>
          <w:p>
            <w:pPr>
              <w:spacing w:line="360" w:lineRule="auto"/>
              <w:jc w:val="center"/>
              <w:rPr>
                <w:rFonts w:hint="eastAsia" w:eastAsia="宋体"/>
                <w:szCs w:val="21"/>
                <w:lang w:val="en-US" w:eastAsia="zh-CN"/>
              </w:rPr>
            </w:pPr>
            <w:r>
              <w:rPr>
                <w:rFonts w:ascii="Times New Roman" w:hAnsi="Times New Roman"/>
                <w:color w:val="000000"/>
                <w:kern w:val="0"/>
                <w:sz w:val="20"/>
                <w:szCs w:val="20"/>
              </w:rPr>
              <w:t>0.</w:t>
            </w:r>
            <w:r>
              <w:rPr>
                <w:rFonts w:hint="eastAsia"/>
                <w:color w:val="000000"/>
                <w:kern w:val="0"/>
                <w:sz w:val="20"/>
                <w:szCs w:val="20"/>
                <w:lang w:val="en-US" w:eastAsia="zh-CN"/>
              </w:rPr>
              <w:t>57</w:t>
            </w:r>
            <w:r>
              <w:rPr>
                <w:rFonts w:ascii="Times New Roman" w:hAnsi="Times New Roman"/>
                <w:color w:val="000000"/>
                <w:kern w:val="0"/>
                <w:sz w:val="20"/>
                <w:szCs w:val="20"/>
              </w:rPr>
              <w:t>±0.08</w:t>
            </w:r>
            <w:r>
              <w:rPr>
                <w:rFonts w:hint="eastAsia" w:ascii="Times New Roman" w:hAnsi="Times New Roman"/>
                <w:color w:val="000000"/>
                <w:kern w:val="0"/>
                <w:sz w:val="20"/>
                <w:szCs w:val="20"/>
              </w:rPr>
              <w:t xml:space="preserve"> </w:t>
            </w:r>
            <w:r>
              <w:rPr>
                <w:rFonts w:hint="eastAsia" w:ascii="Times New Roman" w:hAnsi="Times New Roman"/>
                <w:color w:val="000000"/>
                <w:kern w:val="0"/>
                <w:sz w:val="20"/>
                <w:szCs w:val="20"/>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141" w:type="dxa"/>
            <w:tcBorders>
              <w:top w:val="nil"/>
              <w:left w:val="nil"/>
              <w:right w:val="nil"/>
            </w:tcBorders>
            <w:shd w:val="clear" w:color="auto" w:fill="FFFFFF"/>
            <w:vAlign w:val="center"/>
          </w:tcPr>
          <w:p>
            <w:pPr>
              <w:widowControl/>
              <w:spacing w:line="360" w:lineRule="auto"/>
              <w:jc w:val="center"/>
              <w:rPr>
                <w:rFonts w:eastAsia="仿宋_GB2312"/>
                <w:color w:val="000000"/>
                <w:szCs w:val="21"/>
              </w:rPr>
            </w:pPr>
            <w:r>
              <w:rPr>
                <w:rFonts w:eastAsia="仿宋_GB2312"/>
                <w:color w:val="000000"/>
                <w:szCs w:val="21"/>
              </w:rPr>
              <w:t>对照</w:t>
            </w:r>
          </w:p>
        </w:tc>
        <w:tc>
          <w:tcPr>
            <w:tcW w:w="3162" w:type="dxa"/>
            <w:tcBorders>
              <w:top w:val="nil"/>
              <w:left w:val="nil"/>
              <w:right w:val="nil"/>
            </w:tcBorders>
            <w:shd w:val="clear" w:color="auto" w:fill="FFFFFF"/>
            <w:vAlign w:val="center"/>
          </w:tcPr>
          <w:p>
            <w:pPr>
              <w:widowControl/>
              <w:spacing w:line="360" w:lineRule="auto"/>
              <w:jc w:val="center"/>
              <w:rPr>
                <w:rFonts w:eastAsia="仿宋_GB2312"/>
                <w:szCs w:val="21"/>
              </w:rPr>
            </w:pPr>
            <w:r>
              <w:rPr>
                <w:rFonts w:hint="eastAsia" w:eastAsia="仿宋_GB2312"/>
                <w:color w:val="000000"/>
                <w:szCs w:val="21"/>
                <w:lang w:val="en-US" w:eastAsia="zh-CN"/>
              </w:rPr>
              <w:t>25.30</w:t>
            </w:r>
            <w:r>
              <w:rPr>
                <w:rFonts w:eastAsia="仿宋_GB2312"/>
                <w:bCs/>
                <w:color w:val="000000"/>
                <w:kern w:val="15"/>
                <w:szCs w:val="21"/>
              </w:rPr>
              <w:t>±</w:t>
            </w:r>
            <w:r>
              <w:rPr>
                <w:rFonts w:eastAsia="仿宋_GB2312"/>
                <w:color w:val="000000"/>
                <w:szCs w:val="21"/>
              </w:rPr>
              <w:t xml:space="preserve">0.32 </w:t>
            </w:r>
            <w:r>
              <w:rPr>
                <w:rFonts w:eastAsia="仿宋_GB2312"/>
                <w:color w:val="000000"/>
                <w:kern w:val="0"/>
                <w:szCs w:val="21"/>
              </w:rPr>
              <w:t>B</w:t>
            </w:r>
          </w:p>
        </w:tc>
        <w:tc>
          <w:tcPr>
            <w:tcW w:w="3414" w:type="dxa"/>
            <w:tcBorders>
              <w:top w:val="nil"/>
              <w:left w:val="nil"/>
              <w:right w:val="nil"/>
            </w:tcBorders>
            <w:shd w:val="clear" w:color="auto" w:fill="FFFFFF"/>
            <w:vAlign w:val="center"/>
          </w:tcPr>
          <w:p>
            <w:pPr>
              <w:spacing w:line="360" w:lineRule="auto"/>
              <w:jc w:val="center"/>
              <w:rPr>
                <w:rFonts w:hint="default" w:eastAsia="宋体"/>
                <w:szCs w:val="21"/>
                <w:lang w:val="en-US" w:eastAsia="zh-CN"/>
              </w:rPr>
            </w:pPr>
            <w:r>
              <w:rPr>
                <w:rFonts w:ascii="Times New Roman" w:hAnsi="Times New Roman"/>
                <w:color w:val="000000"/>
                <w:kern w:val="0"/>
                <w:sz w:val="20"/>
                <w:szCs w:val="20"/>
              </w:rPr>
              <w:t>0.</w:t>
            </w:r>
            <w:r>
              <w:rPr>
                <w:rFonts w:hint="eastAsia"/>
                <w:color w:val="000000"/>
                <w:kern w:val="0"/>
                <w:sz w:val="20"/>
                <w:szCs w:val="20"/>
                <w:lang w:val="en-US" w:eastAsia="zh-CN"/>
              </w:rPr>
              <w:t>91</w:t>
            </w:r>
            <w:r>
              <w:rPr>
                <w:rFonts w:ascii="Times New Roman" w:hAnsi="Times New Roman"/>
                <w:color w:val="000000"/>
                <w:kern w:val="0"/>
                <w:sz w:val="20"/>
                <w:szCs w:val="20"/>
              </w:rPr>
              <w:t>±0.</w:t>
            </w:r>
            <w:r>
              <w:rPr>
                <w:rFonts w:hint="eastAsia" w:ascii="Times New Roman" w:hAnsi="Times New Roman"/>
                <w:color w:val="000000"/>
                <w:kern w:val="0"/>
                <w:sz w:val="20"/>
                <w:szCs w:val="20"/>
                <w:lang w:val="en-US" w:eastAsia="zh-CN"/>
              </w:rPr>
              <w:t>1</w:t>
            </w:r>
            <w:r>
              <w:rPr>
                <w:rFonts w:ascii="Times New Roman" w:hAnsi="Times New Roman"/>
                <w:color w:val="000000"/>
                <w:kern w:val="0"/>
                <w:sz w:val="20"/>
                <w:szCs w:val="20"/>
              </w:rPr>
              <w:t>2</w:t>
            </w:r>
            <w:r>
              <w:rPr>
                <w:rFonts w:hint="eastAsia" w:ascii="Times New Roman" w:hAnsi="Times New Roman"/>
                <w:color w:val="000000"/>
                <w:kern w:val="0"/>
                <w:sz w:val="20"/>
                <w:szCs w:val="20"/>
                <w:lang w:val="en-US" w:eastAsia="zh-CN"/>
              </w:rPr>
              <w:t xml:space="preserve"> B</w:t>
            </w:r>
          </w:p>
        </w:tc>
      </w:tr>
    </w:tbl>
    <w:p>
      <w:pPr>
        <w:spacing w:after="159" w:afterLines="50" w:line="380" w:lineRule="exact"/>
        <w:rPr>
          <w:rFonts w:eastAsia="仿宋_GB2312"/>
          <w:szCs w:val="21"/>
        </w:rPr>
      </w:pPr>
      <w:r>
        <w:rPr>
          <w:rFonts w:eastAsia="仿宋_GB2312"/>
          <w:szCs w:val="21"/>
        </w:rPr>
        <w:t>注：同列不同大写字母表示处理间差异极显著（P&lt;0.01），下同</w:t>
      </w:r>
    </w:p>
    <w:p>
      <w:pPr>
        <w:spacing w:line="560" w:lineRule="exact"/>
        <w:ind w:firstLine="480" w:firstLineChars="200"/>
        <w:rPr>
          <w:rFonts w:hint="eastAsia" w:ascii="Times New Roman" w:hAnsi="Times New Roman" w:eastAsia="仿宋_GB2312" w:cs="Times New Roman"/>
          <w:sz w:val="24"/>
        </w:rPr>
      </w:pPr>
      <w:r>
        <w:rPr>
          <w:rFonts w:hint="eastAsia" w:ascii="Times New Roman" w:hAnsi="Times New Roman" w:eastAsia="仿宋_GB2312" w:cs="Times New Roman"/>
          <w:sz w:val="24"/>
        </w:rPr>
        <w:t>由表2可知，正常栽培条件下，CO</w:t>
      </w:r>
      <w:r>
        <w:rPr>
          <w:rFonts w:hint="eastAsia" w:ascii="Times New Roman" w:hAnsi="Times New Roman" w:eastAsia="仿宋_GB2312" w:cs="Times New Roman"/>
          <w:sz w:val="24"/>
          <w:vertAlign w:val="subscript"/>
        </w:rPr>
        <w:t>2</w:t>
      </w:r>
      <w:r>
        <w:rPr>
          <w:rFonts w:hint="eastAsia" w:ascii="Times New Roman" w:hAnsi="Times New Roman" w:eastAsia="仿宋_GB2312" w:cs="Times New Roman"/>
          <w:sz w:val="24"/>
        </w:rPr>
        <w:t>加富处理</w:t>
      </w:r>
      <w:r>
        <w:rPr>
          <w:rFonts w:hint="eastAsia" w:eastAsia="仿宋_GB2312" w:cs="Times New Roman"/>
          <w:sz w:val="24"/>
          <w:lang w:val="en-US" w:eastAsia="zh-CN"/>
        </w:rPr>
        <w:t>下</w:t>
      </w:r>
      <w:r>
        <w:rPr>
          <w:rFonts w:hint="eastAsia" w:ascii="Times New Roman" w:hAnsi="Times New Roman" w:eastAsia="仿宋_GB2312" w:cs="Times New Roman"/>
          <w:sz w:val="24"/>
        </w:rPr>
        <w:t>植株生长旺盛叶片大而肥厚并在茎粗、鲜（干）重、叶面积上显著高于对照。这说明，CO</w:t>
      </w:r>
      <w:r>
        <w:rPr>
          <w:rFonts w:hint="eastAsia" w:ascii="Times New Roman" w:hAnsi="Times New Roman" w:eastAsia="仿宋_GB2312" w:cs="Times New Roman"/>
          <w:sz w:val="24"/>
          <w:vertAlign w:val="subscript"/>
        </w:rPr>
        <w:t>2</w:t>
      </w:r>
      <w:r>
        <w:rPr>
          <w:rFonts w:hint="eastAsia" w:ascii="Times New Roman" w:hAnsi="Times New Roman" w:eastAsia="仿宋_GB2312" w:cs="Times New Roman"/>
          <w:sz w:val="24"/>
        </w:rPr>
        <w:t>加富后</w:t>
      </w:r>
      <w:r>
        <w:rPr>
          <w:rFonts w:hint="eastAsia" w:ascii="Times New Roman" w:hAnsi="Times New Roman" w:eastAsia="仿宋_GB2312" w:cs="Times New Roman"/>
          <w:sz w:val="24"/>
          <w:lang w:val="en-US" w:eastAsia="zh-CN"/>
        </w:rPr>
        <w:t>植株长势增强，株体高大粗壮，从而使植株更好的利用水分和光照等环境因子，为提高</w:t>
      </w:r>
      <w:r>
        <w:rPr>
          <w:rFonts w:hint="eastAsia" w:eastAsia="仿宋_GB2312" w:cs="Times New Roman"/>
          <w:sz w:val="24"/>
          <w:lang w:val="en-US" w:eastAsia="zh-CN"/>
        </w:rPr>
        <w:t>西葫芦</w:t>
      </w:r>
      <w:r>
        <w:rPr>
          <w:rFonts w:hint="eastAsia" w:ascii="Times New Roman" w:hAnsi="Times New Roman" w:eastAsia="仿宋_GB2312" w:cs="Times New Roman"/>
          <w:sz w:val="24"/>
          <w:lang w:val="en-US" w:eastAsia="zh-CN"/>
        </w:rPr>
        <w:t>品质和产量奠定了基础</w:t>
      </w:r>
      <w:r>
        <w:rPr>
          <w:rFonts w:hint="eastAsia" w:ascii="Times New Roman" w:hAnsi="Times New Roman" w:eastAsia="仿宋_GB2312" w:cs="Times New Roman"/>
          <w:sz w:val="24"/>
        </w:rPr>
        <w:t>。</w:t>
      </w:r>
    </w:p>
    <w:p>
      <w:pPr>
        <w:spacing w:line="360" w:lineRule="auto"/>
        <w:jc w:val="center"/>
        <w:rPr>
          <w:rFonts w:eastAsia="仿宋_GB2312"/>
          <w:sz w:val="24"/>
        </w:rPr>
      </w:pPr>
      <w:r>
        <w:rPr>
          <w:rFonts w:eastAsia="仿宋_GB2312"/>
          <w:sz w:val="24"/>
        </w:rPr>
        <w:t>表</w:t>
      </w:r>
      <w:r>
        <w:rPr>
          <w:rFonts w:hint="eastAsia" w:eastAsia="仿宋_GB2312"/>
          <w:sz w:val="24"/>
          <w:lang w:val="en-US" w:eastAsia="zh-CN"/>
        </w:rPr>
        <w:t>2</w:t>
      </w:r>
      <w:r>
        <w:rPr>
          <w:rFonts w:eastAsia="仿宋_GB2312"/>
          <w:sz w:val="24"/>
        </w:rPr>
        <w:t xml:space="preserve">  CO</w:t>
      </w:r>
      <w:r>
        <w:rPr>
          <w:rFonts w:eastAsia="仿宋_GB2312"/>
          <w:sz w:val="24"/>
          <w:vertAlign w:val="subscript"/>
        </w:rPr>
        <w:t>2</w:t>
      </w:r>
      <w:r>
        <w:rPr>
          <w:rFonts w:eastAsia="仿宋_GB2312"/>
          <w:sz w:val="24"/>
        </w:rPr>
        <w:t>加富对</w:t>
      </w:r>
      <w:r>
        <w:rPr>
          <w:rFonts w:hint="eastAsia" w:eastAsia="仿宋_GB2312"/>
          <w:sz w:val="24"/>
          <w:lang w:val="en-US" w:eastAsia="zh-CN"/>
        </w:rPr>
        <w:t>西葫芦生长发育</w:t>
      </w:r>
      <w:r>
        <w:rPr>
          <w:rFonts w:eastAsia="仿宋_GB2312"/>
          <w:sz w:val="24"/>
        </w:rPr>
        <w:t>的影响</w:t>
      </w:r>
    </w:p>
    <w:tbl>
      <w:tblPr>
        <w:tblStyle w:val="14"/>
        <w:tblpPr w:leftFromText="180" w:rightFromText="180" w:vertAnchor="text" w:horzAnchor="page" w:tblpX="1791" w:tblpY="44"/>
        <w:tblOverlap w:val="never"/>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477"/>
        <w:gridCol w:w="1533"/>
        <w:gridCol w:w="1554"/>
        <w:gridCol w:w="15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076" w:type="dxa"/>
            <w:tcBorders>
              <w:left w:val="nil"/>
              <w:bottom w:val="single" w:color="auto" w:sz="4" w:space="0"/>
              <w:right w:val="nil"/>
            </w:tcBorders>
            <w:shd w:val="clear" w:color="000000" w:fill="FFFFFF"/>
            <w:vAlign w:val="center"/>
          </w:tcPr>
          <w:p>
            <w:pPr>
              <w:widowControl/>
              <w:spacing w:line="360" w:lineRule="auto"/>
              <w:jc w:val="center"/>
              <w:rPr>
                <w:rFonts w:hint="eastAsia" w:eastAsia="仿宋_GB2312"/>
                <w:sz w:val="28"/>
                <w:szCs w:val="28"/>
                <w:lang w:val="en-US" w:eastAsia="zh-CN"/>
              </w:rPr>
            </w:pPr>
            <w:r>
              <w:rPr>
                <w:rFonts w:hint="eastAsia" w:ascii="Times New Roman" w:hAnsi="Times New Roman" w:eastAsia="仿宋_GB2312" w:cs="Times New Roman"/>
                <w:color w:val="000000"/>
                <w:kern w:val="0"/>
                <w:szCs w:val="21"/>
                <w:lang w:val="en-US" w:eastAsia="zh-CN"/>
              </w:rPr>
              <w:t>处理</w:t>
            </w:r>
          </w:p>
        </w:tc>
        <w:tc>
          <w:tcPr>
            <w:tcW w:w="1477" w:type="dxa"/>
            <w:tcBorders>
              <w:left w:val="nil"/>
              <w:bottom w:val="single" w:color="auto" w:sz="4" w:space="0"/>
              <w:right w:val="nil"/>
            </w:tcBorders>
            <w:shd w:val="clear" w:color="auto" w:fill="FFFFFF"/>
            <w:vAlign w:val="center"/>
          </w:tcPr>
          <w:p>
            <w:pPr>
              <w:widowControl/>
              <w:spacing w:line="360" w:lineRule="auto"/>
              <w:jc w:val="center"/>
              <w:rPr>
                <w:rFonts w:hint="eastAsia" w:eastAsia="仿宋_GB2312"/>
                <w:szCs w:val="21"/>
                <w:lang w:val="en-US" w:eastAsia="zh-CN"/>
              </w:rPr>
            </w:pPr>
            <w:r>
              <w:rPr>
                <w:rFonts w:hint="eastAsia" w:eastAsia="仿宋_GB2312"/>
                <w:color w:val="000000"/>
                <w:kern w:val="0"/>
                <w:szCs w:val="21"/>
                <w:lang w:val="en-US" w:eastAsia="zh-CN"/>
              </w:rPr>
              <w:t>茎粗(cm)</w:t>
            </w:r>
          </w:p>
        </w:tc>
        <w:tc>
          <w:tcPr>
            <w:tcW w:w="1533" w:type="dxa"/>
            <w:tcBorders>
              <w:left w:val="nil"/>
              <w:bottom w:val="single" w:color="auto" w:sz="4" w:space="0"/>
              <w:right w:val="nil"/>
            </w:tcBorders>
            <w:shd w:val="clear" w:color="auto" w:fill="FFFFFF"/>
            <w:vAlign w:val="center"/>
          </w:tcPr>
          <w:p>
            <w:pPr>
              <w:widowControl/>
              <w:spacing w:line="360" w:lineRule="auto"/>
              <w:jc w:val="center"/>
              <w:rPr>
                <w:rFonts w:ascii="Times New Roman" w:hAnsi="Times New Roman" w:eastAsia="宋体" w:cs="Times New Roman"/>
                <w:color w:val="000000"/>
                <w:kern w:val="0"/>
                <w:sz w:val="21"/>
                <w:szCs w:val="21"/>
              </w:rPr>
            </w:pPr>
            <w:r>
              <w:rPr>
                <w:rFonts w:hint="eastAsia" w:eastAsia="仿宋_GB2312"/>
                <w:color w:val="000000"/>
                <w:kern w:val="0"/>
                <w:szCs w:val="21"/>
                <w:lang w:val="en-US" w:eastAsia="zh-CN"/>
              </w:rPr>
              <w:t>叶面积(</w:t>
            </w:r>
            <w:r>
              <w:rPr>
                <w:rFonts w:hint="eastAsia" w:eastAsia="仿宋_GB2312"/>
                <w:color w:val="000000"/>
                <w:kern w:val="0"/>
                <w:szCs w:val="21"/>
              </w:rPr>
              <w:t>cm</w:t>
            </w:r>
            <w:r>
              <w:rPr>
                <w:rFonts w:hint="eastAsia" w:eastAsia="仿宋_GB2312"/>
                <w:color w:val="000000"/>
                <w:kern w:val="0"/>
                <w:szCs w:val="21"/>
                <w:vertAlign w:val="superscript"/>
                <w:lang w:val="en-US" w:eastAsia="zh-CN"/>
              </w:rPr>
              <w:t>2</w:t>
            </w:r>
            <w:r>
              <w:rPr>
                <w:rFonts w:hint="eastAsia" w:eastAsia="仿宋_GB2312"/>
                <w:color w:val="000000"/>
                <w:kern w:val="0"/>
                <w:szCs w:val="21"/>
                <w:lang w:val="en-US" w:eastAsia="zh-CN"/>
              </w:rPr>
              <w:t>)</w:t>
            </w:r>
          </w:p>
        </w:tc>
        <w:tc>
          <w:tcPr>
            <w:tcW w:w="1554" w:type="dxa"/>
            <w:tcBorders>
              <w:left w:val="nil"/>
              <w:bottom w:val="single" w:color="auto" w:sz="4" w:space="0"/>
              <w:right w:val="nil"/>
            </w:tcBorders>
            <w:shd w:val="clear" w:color="auto" w:fill="FFFFFF"/>
            <w:vAlign w:val="center"/>
          </w:tcPr>
          <w:p>
            <w:pPr>
              <w:widowControl/>
              <w:spacing w:line="360" w:lineRule="auto"/>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株高(cm)</w:t>
            </w:r>
          </w:p>
        </w:tc>
        <w:tc>
          <w:tcPr>
            <w:tcW w:w="1517" w:type="dxa"/>
            <w:tcBorders>
              <w:left w:val="nil"/>
              <w:bottom w:val="single" w:color="auto" w:sz="4" w:space="0"/>
              <w:right w:val="nil"/>
            </w:tcBorders>
            <w:shd w:val="clear" w:color="auto" w:fill="FFFFFF"/>
            <w:vAlign w:val="center"/>
          </w:tcPr>
          <w:p>
            <w:pPr>
              <w:widowControl/>
              <w:spacing w:line="360" w:lineRule="auto"/>
              <w:jc w:val="center"/>
              <w:rPr>
                <w:rFonts w:hint="default" w:eastAsia="仿宋_GB2312"/>
                <w:color w:val="000000"/>
                <w:kern w:val="0"/>
                <w:szCs w:val="21"/>
                <w:lang w:val="en-US" w:eastAsia="zh-CN"/>
              </w:rPr>
            </w:pPr>
            <w:r>
              <w:rPr>
                <w:rFonts w:hint="eastAsia" w:eastAsia="仿宋_GB2312"/>
                <w:color w:val="000000"/>
                <w:kern w:val="0"/>
                <w:szCs w:val="21"/>
                <w:lang w:val="en-US" w:eastAsia="zh-CN"/>
              </w:rPr>
              <w:t>鲜重(g)</w:t>
            </w:r>
          </w:p>
        </w:tc>
        <w:tc>
          <w:tcPr>
            <w:tcW w:w="1701" w:type="dxa"/>
            <w:tcBorders>
              <w:left w:val="nil"/>
              <w:bottom w:val="single" w:color="auto" w:sz="4" w:space="0"/>
              <w:right w:val="nil"/>
            </w:tcBorders>
            <w:shd w:val="clear" w:color="auto" w:fill="FFFFFF"/>
            <w:vAlign w:val="center"/>
          </w:tcPr>
          <w:p>
            <w:pPr>
              <w:widowControl/>
              <w:spacing w:line="360" w:lineRule="auto"/>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干重(g)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076" w:type="dxa"/>
            <w:tcBorders>
              <w:top w:val="single" w:color="auto" w:sz="4" w:space="0"/>
              <w:left w:val="nil"/>
              <w:bottom w:val="nil"/>
              <w:right w:val="nil"/>
            </w:tcBorders>
            <w:shd w:val="clear" w:color="auto" w:fill="FFFFFF"/>
            <w:vAlign w:val="center"/>
          </w:tcPr>
          <w:p>
            <w:pPr>
              <w:spacing w:line="360" w:lineRule="auto"/>
              <w:jc w:val="center"/>
              <w:rPr>
                <w:rFonts w:eastAsia="仿宋_GB2312"/>
                <w:color w:val="000000"/>
                <w:kern w:val="0"/>
                <w:szCs w:val="21"/>
              </w:rPr>
            </w:pPr>
            <w:r>
              <w:rPr>
                <w:rFonts w:eastAsia="仿宋_GB2312"/>
                <w:sz w:val="21"/>
                <w:szCs w:val="21"/>
              </w:rPr>
              <w:t>CO</w:t>
            </w:r>
            <w:r>
              <w:rPr>
                <w:rFonts w:eastAsia="仿宋_GB2312"/>
                <w:sz w:val="21"/>
                <w:szCs w:val="21"/>
                <w:vertAlign w:val="subscript"/>
              </w:rPr>
              <w:t>2</w:t>
            </w:r>
            <w:r>
              <w:rPr>
                <w:rFonts w:eastAsia="仿宋_GB2312"/>
                <w:sz w:val="21"/>
                <w:szCs w:val="21"/>
              </w:rPr>
              <w:t>加富</w:t>
            </w:r>
          </w:p>
        </w:tc>
        <w:tc>
          <w:tcPr>
            <w:tcW w:w="1477" w:type="dxa"/>
            <w:tcBorders>
              <w:top w:val="single" w:color="auto" w:sz="4" w:space="0"/>
              <w:left w:val="nil"/>
              <w:bottom w:val="nil"/>
              <w:right w:val="nil"/>
            </w:tcBorders>
            <w:shd w:val="clear" w:color="auto" w:fill="FFFFFF"/>
            <w:vAlign w:val="center"/>
          </w:tcPr>
          <w:p>
            <w:pPr>
              <w:widowControl/>
              <w:spacing w:line="360" w:lineRule="auto"/>
              <w:jc w:val="center"/>
              <w:rPr>
                <w:rFonts w:hint="default" w:eastAsia="仿宋_GB2312"/>
                <w:szCs w:val="21"/>
                <w:lang w:val="en-US"/>
              </w:rPr>
            </w:pPr>
            <w:r>
              <w:rPr>
                <w:rFonts w:hint="eastAsia" w:eastAsia="仿宋_GB2312"/>
                <w:color w:val="000000"/>
                <w:szCs w:val="21"/>
                <w:lang w:val="en-US" w:eastAsia="zh-CN"/>
              </w:rPr>
              <w:t>1.328</w:t>
            </w:r>
          </w:p>
        </w:tc>
        <w:tc>
          <w:tcPr>
            <w:tcW w:w="1533" w:type="dxa"/>
            <w:tcBorders>
              <w:top w:val="single" w:color="auto" w:sz="4" w:space="0"/>
              <w:left w:val="nil"/>
              <w:bottom w:val="nil"/>
              <w:right w:val="nil"/>
            </w:tcBorders>
            <w:shd w:val="clear" w:color="auto" w:fill="FFFFFF"/>
            <w:vAlign w:val="center"/>
          </w:tcPr>
          <w:p>
            <w:pPr>
              <w:spacing w:line="360" w:lineRule="auto"/>
              <w:jc w:val="center"/>
              <w:rPr>
                <w:rFonts w:hint="default" w:eastAsia="宋体"/>
                <w:szCs w:val="21"/>
                <w:lang w:val="en-US" w:eastAsia="zh-CN"/>
              </w:rPr>
            </w:pPr>
            <w:r>
              <w:rPr>
                <w:rFonts w:hint="eastAsia"/>
                <w:szCs w:val="21"/>
                <w:lang w:val="en-US" w:eastAsia="zh-CN"/>
              </w:rPr>
              <w:t>3235.95</w:t>
            </w:r>
          </w:p>
        </w:tc>
        <w:tc>
          <w:tcPr>
            <w:tcW w:w="1554" w:type="dxa"/>
            <w:tcBorders>
              <w:top w:val="single" w:color="auto" w:sz="4" w:space="0"/>
              <w:left w:val="nil"/>
              <w:bottom w:val="nil"/>
              <w:right w:val="nil"/>
            </w:tcBorders>
            <w:shd w:val="clear" w:color="auto" w:fill="FFFFFF"/>
            <w:vAlign w:val="center"/>
          </w:tcPr>
          <w:p>
            <w:pPr>
              <w:spacing w:line="360" w:lineRule="auto"/>
              <w:jc w:val="center"/>
              <w:rPr>
                <w:rFonts w:hint="default" w:eastAsia="宋体"/>
                <w:szCs w:val="21"/>
                <w:lang w:val="en-US" w:eastAsia="zh-CN"/>
              </w:rPr>
            </w:pPr>
            <w:r>
              <w:rPr>
                <w:rFonts w:hint="eastAsia"/>
                <w:szCs w:val="21"/>
                <w:lang w:val="en-US" w:eastAsia="zh-CN"/>
              </w:rPr>
              <w:t>12.20</w:t>
            </w:r>
          </w:p>
        </w:tc>
        <w:tc>
          <w:tcPr>
            <w:tcW w:w="1517" w:type="dxa"/>
            <w:tcBorders>
              <w:top w:val="single" w:color="auto" w:sz="4" w:space="0"/>
              <w:left w:val="nil"/>
              <w:bottom w:val="nil"/>
              <w:right w:val="nil"/>
            </w:tcBorders>
            <w:shd w:val="clear" w:color="auto" w:fill="FFFFFF"/>
            <w:vAlign w:val="center"/>
          </w:tcPr>
          <w:p>
            <w:pPr>
              <w:spacing w:line="360" w:lineRule="auto"/>
              <w:jc w:val="center"/>
              <w:rPr>
                <w:rFonts w:hint="default" w:eastAsia="宋体"/>
                <w:color w:val="000000"/>
                <w:szCs w:val="21"/>
                <w:lang w:val="en-US" w:eastAsia="zh-CN"/>
              </w:rPr>
            </w:pPr>
            <w:r>
              <w:rPr>
                <w:rFonts w:hint="eastAsia"/>
                <w:color w:val="000000"/>
                <w:szCs w:val="21"/>
                <w:lang w:val="en-US" w:eastAsia="zh-CN"/>
              </w:rPr>
              <w:t>292.43</w:t>
            </w:r>
          </w:p>
        </w:tc>
        <w:tc>
          <w:tcPr>
            <w:tcW w:w="1701" w:type="dxa"/>
            <w:tcBorders>
              <w:top w:val="single" w:color="auto" w:sz="4" w:space="0"/>
              <w:left w:val="nil"/>
              <w:bottom w:val="nil"/>
              <w:right w:val="nil"/>
            </w:tcBorders>
            <w:shd w:val="clear" w:color="auto" w:fill="FFFFFF"/>
            <w:vAlign w:val="center"/>
          </w:tcPr>
          <w:p>
            <w:pPr>
              <w:spacing w:line="360" w:lineRule="auto"/>
              <w:jc w:val="center"/>
              <w:rPr>
                <w:rFonts w:hint="default" w:ascii="Times New Roman" w:hAnsi="Times New Roman"/>
                <w:color w:val="000000"/>
                <w:kern w:val="0"/>
                <w:sz w:val="20"/>
                <w:szCs w:val="20"/>
                <w:lang w:val="en-US" w:eastAsia="zh-CN"/>
              </w:rPr>
            </w:pPr>
            <w:r>
              <w:rPr>
                <w:rFonts w:hint="eastAsia"/>
                <w:color w:val="000000"/>
                <w:kern w:val="0"/>
                <w:sz w:val="20"/>
                <w:szCs w:val="20"/>
                <w:lang w:val="en-US" w:eastAsia="zh-CN"/>
              </w:rPr>
              <w:t>28.84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076" w:type="dxa"/>
            <w:tcBorders>
              <w:top w:val="nil"/>
              <w:left w:val="nil"/>
              <w:right w:val="nil"/>
            </w:tcBorders>
            <w:shd w:val="clear" w:color="auto" w:fill="FFFFFF"/>
            <w:vAlign w:val="center"/>
          </w:tcPr>
          <w:p>
            <w:pPr>
              <w:widowControl/>
              <w:spacing w:line="360" w:lineRule="auto"/>
              <w:jc w:val="center"/>
              <w:rPr>
                <w:rFonts w:eastAsia="仿宋_GB2312"/>
                <w:color w:val="000000"/>
                <w:szCs w:val="21"/>
              </w:rPr>
            </w:pPr>
            <w:r>
              <w:rPr>
                <w:rFonts w:eastAsia="仿宋_GB2312"/>
                <w:color w:val="000000"/>
                <w:szCs w:val="21"/>
              </w:rPr>
              <w:t>对照</w:t>
            </w:r>
          </w:p>
        </w:tc>
        <w:tc>
          <w:tcPr>
            <w:tcW w:w="1477" w:type="dxa"/>
            <w:tcBorders>
              <w:top w:val="nil"/>
              <w:left w:val="nil"/>
              <w:right w:val="nil"/>
            </w:tcBorders>
            <w:shd w:val="clear" w:color="auto" w:fill="FFFFFF"/>
            <w:vAlign w:val="center"/>
          </w:tcPr>
          <w:p>
            <w:pPr>
              <w:widowControl/>
              <w:spacing w:line="360" w:lineRule="auto"/>
              <w:jc w:val="center"/>
              <w:rPr>
                <w:rFonts w:hint="default" w:eastAsia="仿宋_GB2312"/>
                <w:szCs w:val="21"/>
                <w:lang w:val="en-US"/>
              </w:rPr>
            </w:pPr>
            <w:r>
              <w:rPr>
                <w:rFonts w:hint="eastAsia" w:eastAsia="仿宋_GB2312"/>
                <w:color w:val="000000"/>
                <w:szCs w:val="21"/>
                <w:lang w:val="en-US" w:eastAsia="zh-CN"/>
              </w:rPr>
              <w:t>1.203</w:t>
            </w:r>
          </w:p>
        </w:tc>
        <w:tc>
          <w:tcPr>
            <w:tcW w:w="1533" w:type="dxa"/>
            <w:tcBorders>
              <w:top w:val="nil"/>
              <w:left w:val="nil"/>
              <w:right w:val="nil"/>
            </w:tcBorders>
            <w:shd w:val="clear" w:color="auto" w:fill="FFFFFF"/>
            <w:vAlign w:val="center"/>
          </w:tcPr>
          <w:p>
            <w:pPr>
              <w:spacing w:line="360" w:lineRule="auto"/>
              <w:jc w:val="center"/>
              <w:rPr>
                <w:rFonts w:hint="default" w:eastAsia="宋体"/>
                <w:szCs w:val="21"/>
                <w:lang w:val="en-US" w:eastAsia="zh-CN"/>
              </w:rPr>
            </w:pPr>
            <w:r>
              <w:rPr>
                <w:rFonts w:hint="eastAsia"/>
                <w:szCs w:val="21"/>
                <w:lang w:val="en-US" w:eastAsia="zh-CN"/>
              </w:rPr>
              <w:t>2734.14</w:t>
            </w:r>
          </w:p>
        </w:tc>
        <w:tc>
          <w:tcPr>
            <w:tcW w:w="1554" w:type="dxa"/>
            <w:tcBorders>
              <w:top w:val="nil"/>
              <w:left w:val="nil"/>
              <w:right w:val="nil"/>
            </w:tcBorders>
            <w:shd w:val="clear" w:color="auto" w:fill="FFFFFF"/>
            <w:vAlign w:val="center"/>
          </w:tcPr>
          <w:p>
            <w:pPr>
              <w:spacing w:line="360" w:lineRule="auto"/>
              <w:jc w:val="center"/>
              <w:rPr>
                <w:rFonts w:hint="default" w:eastAsia="宋体"/>
                <w:szCs w:val="21"/>
                <w:lang w:val="en-US" w:eastAsia="zh-CN"/>
              </w:rPr>
            </w:pPr>
            <w:r>
              <w:rPr>
                <w:rFonts w:hint="eastAsia"/>
                <w:szCs w:val="21"/>
                <w:lang w:val="en-US" w:eastAsia="zh-CN"/>
              </w:rPr>
              <w:t>10.54</w:t>
            </w:r>
          </w:p>
        </w:tc>
        <w:tc>
          <w:tcPr>
            <w:tcW w:w="1517" w:type="dxa"/>
            <w:tcBorders>
              <w:top w:val="nil"/>
              <w:left w:val="nil"/>
              <w:right w:val="nil"/>
            </w:tcBorders>
            <w:shd w:val="clear" w:color="auto" w:fill="FFFFFF"/>
            <w:vAlign w:val="center"/>
          </w:tcPr>
          <w:p>
            <w:pPr>
              <w:spacing w:line="360" w:lineRule="auto"/>
              <w:jc w:val="center"/>
              <w:rPr>
                <w:rFonts w:hint="default" w:eastAsia="宋体"/>
                <w:color w:val="000000"/>
                <w:szCs w:val="21"/>
                <w:lang w:val="en-US" w:eastAsia="zh-CN"/>
              </w:rPr>
            </w:pPr>
            <w:r>
              <w:rPr>
                <w:rFonts w:hint="eastAsia"/>
                <w:color w:val="000000"/>
                <w:szCs w:val="21"/>
                <w:lang w:val="en-US" w:eastAsia="zh-CN"/>
              </w:rPr>
              <w:t>211.93</w:t>
            </w:r>
          </w:p>
        </w:tc>
        <w:tc>
          <w:tcPr>
            <w:tcW w:w="1701" w:type="dxa"/>
            <w:tcBorders>
              <w:top w:val="nil"/>
              <w:left w:val="nil"/>
              <w:right w:val="nil"/>
            </w:tcBorders>
            <w:shd w:val="clear" w:color="auto" w:fill="FFFFFF"/>
            <w:vAlign w:val="center"/>
          </w:tcPr>
          <w:p>
            <w:pPr>
              <w:spacing w:line="360" w:lineRule="auto"/>
              <w:jc w:val="center"/>
              <w:rPr>
                <w:rFonts w:hint="default" w:ascii="Times New Roman" w:hAnsi="Times New Roman"/>
                <w:color w:val="000000"/>
                <w:kern w:val="0"/>
                <w:sz w:val="20"/>
                <w:szCs w:val="20"/>
                <w:lang w:val="en-US" w:eastAsia="zh-CN"/>
              </w:rPr>
            </w:pPr>
            <w:r>
              <w:rPr>
                <w:rFonts w:hint="eastAsia"/>
                <w:color w:val="000000"/>
                <w:kern w:val="0"/>
                <w:sz w:val="20"/>
                <w:szCs w:val="20"/>
                <w:lang w:val="en-US" w:eastAsia="zh-CN"/>
              </w:rPr>
              <w:t>22.04</w:t>
            </w:r>
          </w:p>
        </w:tc>
      </w:tr>
    </w:tbl>
    <w:p>
      <w:pPr>
        <w:spacing w:line="560" w:lineRule="exact"/>
        <w:ind w:firstLine="480" w:firstLineChars="200"/>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rPr>
        <w:t>由表</w:t>
      </w:r>
      <w:r>
        <w:rPr>
          <w:rFonts w:hint="eastAsia" w:ascii="Times New Roman" w:hAnsi="Times New Roman" w:eastAsia="仿宋_GB2312" w:cs="Times New Roman"/>
          <w:sz w:val="24"/>
          <w:lang w:val="en-US" w:eastAsia="zh-CN"/>
        </w:rPr>
        <w:t>3</w:t>
      </w:r>
      <w:r>
        <w:rPr>
          <w:rFonts w:hint="eastAsia" w:ascii="Times New Roman" w:hAnsi="Times New Roman" w:eastAsia="仿宋_GB2312" w:cs="Times New Roman"/>
          <w:sz w:val="24"/>
        </w:rPr>
        <w:t>可知，CO</w:t>
      </w:r>
      <w:r>
        <w:rPr>
          <w:rFonts w:hint="eastAsia" w:ascii="Times New Roman" w:hAnsi="Times New Roman" w:eastAsia="仿宋_GB2312" w:cs="Times New Roman"/>
          <w:sz w:val="24"/>
          <w:vertAlign w:val="subscript"/>
        </w:rPr>
        <w:t>2</w:t>
      </w:r>
      <w:r>
        <w:rPr>
          <w:rFonts w:hint="eastAsia" w:ascii="Times New Roman" w:hAnsi="Times New Roman" w:eastAsia="仿宋_GB2312" w:cs="Times New Roman"/>
          <w:sz w:val="24"/>
        </w:rPr>
        <w:t>加富处理</w:t>
      </w:r>
      <w:r>
        <w:rPr>
          <w:rFonts w:hint="eastAsia" w:eastAsia="仿宋_GB2312" w:cs="Times New Roman"/>
          <w:sz w:val="24"/>
          <w:lang w:val="en-US" w:eastAsia="zh-CN"/>
        </w:rPr>
        <w:t>后开花期提前4 d，雌花数量增加，座果率提高，最终产量提升</w:t>
      </w:r>
      <w:r>
        <w:rPr>
          <w:rFonts w:hint="eastAsia" w:ascii="Times New Roman" w:hAnsi="Times New Roman" w:eastAsia="仿宋_GB2312" w:cs="Times New Roman"/>
          <w:sz w:val="24"/>
          <w:lang w:val="en-US" w:eastAsia="zh-CN"/>
        </w:rPr>
        <w:t>。这表明增施CO</w:t>
      </w:r>
      <w:r>
        <w:rPr>
          <w:rFonts w:hint="eastAsia" w:ascii="Times New Roman" w:hAnsi="Times New Roman" w:eastAsia="仿宋_GB2312" w:cs="Times New Roman"/>
          <w:sz w:val="24"/>
          <w:vertAlign w:val="subscript"/>
          <w:lang w:val="en-US" w:eastAsia="zh-CN"/>
        </w:rPr>
        <w:t>2</w:t>
      </w:r>
      <w:r>
        <w:rPr>
          <w:rFonts w:hint="eastAsia" w:ascii="Times New Roman" w:hAnsi="Times New Roman" w:eastAsia="仿宋_GB2312" w:cs="Times New Roman"/>
          <w:sz w:val="24"/>
          <w:lang w:val="en-US" w:eastAsia="zh-CN"/>
        </w:rPr>
        <w:t>不仅加速了西葫芦的形态建成</w:t>
      </w:r>
      <w:r>
        <w:rPr>
          <w:rFonts w:hint="eastAsia" w:eastAsia="仿宋_GB2312" w:cs="Times New Roman"/>
          <w:sz w:val="24"/>
          <w:lang w:val="en-US" w:eastAsia="zh-CN"/>
        </w:rPr>
        <w:t>，</w:t>
      </w:r>
      <w:r>
        <w:rPr>
          <w:rFonts w:hint="eastAsia" w:ascii="Times New Roman" w:hAnsi="Times New Roman" w:eastAsia="仿宋_GB2312" w:cs="Times New Roman"/>
          <w:sz w:val="24"/>
          <w:lang w:val="en-US" w:eastAsia="zh-CN"/>
        </w:rPr>
        <w:t>同时也加速了西葫芦花器的发育并使西葫芦的雌花个数增加为高产量的形成打下了坚实的基础。</w:t>
      </w:r>
    </w:p>
    <w:p>
      <w:pPr>
        <w:spacing w:line="360" w:lineRule="auto"/>
        <w:jc w:val="center"/>
        <w:rPr>
          <w:rFonts w:eastAsia="仿宋_GB2312"/>
          <w:sz w:val="24"/>
        </w:rPr>
      </w:pPr>
      <w:r>
        <w:rPr>
          <w:rFonts w:eastAsia="仿宋_GB2312"/>
          <w:sz w:val="24"/>
        </w:rPr>
        <w:t>表</w:t>
      </w:r>
      <w:r>
        <w:rPr>
          <w:rFonts w:hint="eastAsia" w:eastAsia="仿宋_GB2312"/>
          <w:sz w:val="24"/>
          <w:lang w:val="en-US" w:eastAsia="zh-CN"/>
        </w:rPr>
        <w:t>3</w:t>
      </w:r>
      <w:r>
        <w:rPr>
          <w:rFonts w:eastAsia="仿宋_GB2312"/>
          <w:sz w:val="24"/>
        </w:rPr>
        <w:t xml:space="preserve">  CO</w:t>
      </w:r>
      <w:r>
        <w:rPr>
          <w:rFonts w:eastAsia="仿宋_GB2312"/>
          <w:sz w:val="24"/>
          <w:vertAlign w:val="subscript"/>
        </w:rPr>
        <w:t>2</w:t>
      </w:r>
      <w:r>
        <w:rPr>
          <w:rFonts w:eastAsia="仿宋_GB2312"/>
          <w:sz w:val="24"/>
        </w:rPr>
        <w:t>加富对</w:t>
      </w:r>
      <w:r>
        <w:rPr>
          <w:rFonts w:hint="eastAsia" w:eastAsia="仿宋_GB2312"/>
          <w:sz w:val="24"/>
          <w:lang w:val="en-US" w:eastAsia="zh-CN"/>
        </w:rPr>
        <w:t>西葫芦产量</w:t>
      </w:r>
      <w:r>
        <w:rPr>
          <w:rFonts w:eastAsia="仿宋_GB2312"/>
          <w:sz w:val="24"/>
        </w:rPr>
        <w:t>的影响</w:t>
      </w:r>
    </w:p>
    <w:tbl>
      <w:tblPr>
        <w:tblStyle w:val="14"/>
        <w:tblpPr w:leftFromText="180" w:rightFromText="180" w:vertAnchor="text" w:horzAnchor="page" w:tblpX="1901" w:tblpY="71"/>
        <w:tblOverlap w:val="never"/>
        <w:tblW w:w="8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969"/>
        <w:gridCol w:w="1758"/>
        <w:gridCol w:w="1844"/>
        <w:gridCol w:w="1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335" w:type="dxa"/>
            <w:tcBorders>
              <w:left w:val="nil"/>
              <w:bottom w:val="single" w:color="auto" w:sz="4" w:space="0"/>
              <w:right w:val="nil"/>
            </w:tcBorders>
            <w:shd w:val="clear" w:color="000000" w:fill="FFFFFF"/>
            <w:vAlign w:val="center"/>
          </w:tcPr>
          <w:p>
            <w:pPr>
              <w:widowControl/>
              <w:spacing w:line="360" w:lineRule="auto"/>
              <w:jc w:val="center"/>
              <w:rPr>
                <w:rFonts w:hint="eastAsia" w:eastAsia="仿宋_GB2312"/>
                <w:sz w:val="28"/>
                <w:szCs w:val="28"/>
                <w:lang w:val="en-US" w:eastAsia="zh-CN"/>
              </w:rPr>
            </w:pPr>
            <w:r>
              <w:rPr>
                <w:rFonts w:hint="eastAsia" w:ascii="Times New Roman" w:hAnsi="Times New Roman" w:eastAsia="仿宋_GB2312" w:cs="Times New Roman"/>
                <w:color w:val="000000"/>
                <w:kern w:val="0"/>
                <w:szCs w:val="21"/>
                <w:lang w:val="en-US" w:eastAsia="zh-CN"/>
              </w:rPr>
              <w:t>处理</w:t>
            </w:r>
          </w:p>
        </w:tc>
        <w:tc>
          <w:tcPr>
            <w:tcW w:w="1969" w:type="dxa"/>
            <w:tcBorders>
              <w:left w:val="nil"/>
              <w:bottom w:val="single" w:color="auto" w:sz="4" w:space="0"/>
              <w:right w:val="nil"/>
            </w:tcBorders>
            <w:shd w:val="clear" w:color="auto" w:fill="FFFFFF"/>
            <w:vAlign w:val="center"/>
          </w:tcPr>
          <w:p>
            <w:pPr>
              <w:widowControl/>
              <w:spacing w:line="360" w:lineRule="auto"/>
              <w:jc w:val="center"/>
              <w:rPr>
                <w:rFonts w:hint="default"/>
                <w:lang w:val="en-US" w:eastAsia="zh-CN"/>
              </w:rPr>
            </w:pPr>
            <w:r>
              <w:rPr>
                <w:rFonts w:hint="eastAsia"/>
                <w:lang w:val="en-US" w:eastAsia="zh-CN"/>
              </w:rPr>
              <w:t>开花期提前(d)</w:t>
            </w:r>
          </w:p>
        </w:tc>
        <w:tc>
          <w:tcPr>
            <w:tcW w:w="1758" w:type="dxa"/>
            <w:tcBorders>
              <w:left w:val="nil"/>
              <w:bottom w:val="single" w:color="auto" w:sz="4" w:space="0"/>
              <w:right w:val="nil"/>
            </w:tcBorders>
            <w:shd w:val="clear" w:color="auto" w:fill="FFFFFF"/>
            <w:vAlign w:val="center"/>
          </w:tcPr>
          <w:p>
            <w:pPr>
              <w:widowControl/>
              <w:spacing w:line="360" w:lineRule="auto"/>
              <w:jc w:val="center"/>
              <w:rPr>
                <w:rFonts w:hint="eastAsia" w:ascii="Times New Roman" w:hAnsi="Times New Roman" w:eastAsia="宋体" w:cs="Times New Roman"/>
                <w:color w:val="000000"/>
                <w:kern w:val="0"/>
                <w:sz w:val="21"/>
                <w:szCs w:val="21"/>
                <w:lang w:val="en-US" w:eastAsia="zh-CN"/>
              </w:rPr>
            </w:pPr>
            <w:r>
              <w:rPr>
                <w:rFonts w:hint="eastAsia"/>
                <w:lang w:val="en-US" w:eastAsia="zh-CN"/>
              </w:rPr>
              <w:t>雌/雄(%)</w:t>
            </w:r>
          </w:p>
        </w:tc>
        <w:tc>
          <w:tcPr>
            <w:tcW w:w="1844" w:type="dxa"/>
            <w:tcBorders>
              <w:left w:val="nil"/>
              <w:bottom w:val="single" w:color="auto" w:sz="4" w:space="0"/>
              <w:right w:val="nil"/>
            </w:tcBorders>
            <w:shd w:val="clear" w:color="auto" w:fill="FFFFFF"/>
            <w:vAlign w:val="center"/>
          </w:tcPr>
          <w:p>
            <w:pPr>
              <w:widowControl/>
              <w:spacing w:line="360" w:lineRule="auto"/>
              <w:jc w:val="center"/>
              <w:rPr>
                <w:rFonts w:hint="eastAsia" w:ascii="Times New Roman" w:hAnsi="Times New Roman" w:eastAsia="宋体" w:cs="Times New Roman"/>
                <w:color w:val="000000"/>
                <w:kern w:val="0"/>
                <w:sz w:val="21"/>
                <w:szCs w:val="21"/>
                <w:lang w:val="en-US" w:eastAsia="zh-CN"/>
              </w:rPr>
            </w:pPr>
            <w:r>
              <w:rPr>
                <w:rFonts w:hint="eastAsia" w:eastAsia="仿宋_GB2312" w:cs="Times New Roman"/>
                <w:color w:val="000000"/>
                <w:kern w:val="0"/>
                <w:szCs w:val="21"/>
                <w:lang w:val="en-US" w:eastAsia="zh-CN"/>
              </w:rPr>
              <w:t>座果率</w:t>
            </w:r>
            <w:r>
              <w:rPr>
                <w:rFonts w:hint="eastAsia"/>
                <w:lang w:val="en-US" w:eastAsia="zh-CN"/>
              </w:rPr>
              <w:t>(</w:t>
            </w:r>
            <w:r>
              <w:rPr>
                <w:rFonts w:hint="eastAsia" w:eastAsia="仿宋_GB2312" w:cs="Times New Roman"/>
                <w:color w:val="000000"/>
                <w:kern w:val="0"/>
                <w:szCs w:val="21"/>
                <w:lang w:val="en-US" w:eastAsia="zh-CN"/>
              </w:rPr>
              <w:t>%</w:t>
            </w:r>
            <w:r>
              <w:rPr>
                <w:rFonts w:hint="eastAsia"/>
                <w:lang w:val="en-US" w:eastAsia="zh-CN"/>
              </w:rPr>
              <w:t>)</w:t>
            </w:r>
          </w:p>
        </w:tc>
        <w:tc>
          <w:tcPr>
            <w:tcW w:w="1926" w:type="dxa"/>
            <w:tcBorders>
              <w:left w:val="nil"/>
              <w:bottom w:val="single" w:color="auto" w:sz="4" w:space="0"/>
              <w:right w:val="nil"/>
            </w:tcBorders>
            <w:shd w:val="clear" w:color="auto" w:fill="FFFFFF"/>
            <w:vAlign w:val="center"/>
          </w:tcPr>
          <w:p>
            <w:pPr>
              <w:widowControl/>
              <w:spacing w:line="360" w:lineRule="auto"/>
              <w:jc w:val="center"/>
              <w:rPr>
                <w:rFonts w:hint="eastAsia" w:eastAsia="宋体"/>
                <w:color w:val="000000"/>
                <w:kern w:val="0"/>
                <w:szCs w:val="21"/>
                <w:vertAlign w:val="superscript"/>
                <w:lang w:val="en-US" w:eastAsia="zh-CN"/>
              </w:rPr>
            </w:pPr>
            <w:r>
              <w:rPr>
                <w:rFonts w:hint="eastAsia" w:eastAsia="仿宋_GB2312" w:cs="Times New Roman"/>
                <w:color w:val="000000"/>
                <w:kern w:val="0"/>
                <w:szCs w:val="21"/>
                <w:lang w:val="en-US" w:eastAsia="zh-CN"/>
              </w:rPr>
              <w:t>平均产量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335" w:type="dxa"/>
            <w:tcBorders>
              <w:top w:val="single" w:color="auto" w:sz="4" w:space="0"/>
              <w:left w:val="nil"/>
              <w:bottom w:val="nil"/>
              <w:right w:val="nil"/>
            </w:tcBorders>
            <w:shd w:val="clear" w:color="auto" w:fill="FFFFFF"/>
            <w:vAlign w:val="center"/>
          </w:tcPr>
          <w:p>
            <w:pPr>
              <w:spacing w:line="360" w:lineRule="auto"/>
              <w:jc w:val="center"/>
              <w:rPr>
                <w:rFonts w:eastAsia="仿宋_GB2312"/>
                <w:color w:val="000000"/>
                <w:kern w:val="0"/>
                <w:szCs w:val="21"/>
              </w:rPr>
            </w:pPr>
            <w:r>
              <w:rPr>
                <w:rFonts w:eastAsia="仿宋_GB2312"/>
                <w:sz w:val="21"/>
                <w:szCs w:val="21"/>
              </w:rPr>
              <w:t>CO</w:t>
            </w:r>
            <w:r>
              <w:rPr>
                <w:rFonts w:eastAsia="仿宋_GB2312"/>
                <w:sz w:val="21"/>
                <w:szCs w:val="21"/>
                <w:vertAlign w:val="subscript"/>
              </w:rPr>
              <w:t>2</w:t>
            </w:r>
            <w:r>
              <w:rPr>
                <w:rFonts w:eastAsia="仿宋_GB2312"/>
                <w:sz w:val="21"/>
                <w:szCs w:val="21"/>
              </w:rPr>
              <w:t>加富</w:t>
            </w:r>
          </w:p>
        </w:tc>
        <w:tc>
          <w:tcPr>
            <w:tcW w:w="1969" w:type="dxa"/>
            <w:tcBorders>
              <w:top w:val="single" w:color="auto" w:sz="4" w:space="0"/>
              <w:left w:val="nil"/>
              <w:bottom w:val="nil"/>
              <w:right w:val="nil"/>
            </w:tcBorders>
            <w:shd w:val="clear" w:color="auto" w:fill="FFFFFF"/>
            <w:vAlign w:val="center"/>
          </w:tcPr>
          <w:p>
            <w:pPr>
              <w:widowControl/>
              <w:spacing w:line="360" w:lineRule="auto"/>
              <w:jc w:val="center"/>
              <w:rPr>
                <w:rFonts w:hint="default" w:eastAsia="宋体"/>
                <w:szCs w:val="21"/>
                <w:lang w:val="en-US" w:eastAsia="zh-CN"/>
              </w:rPr>
            </w:pPr>
            <w:r>
              <w:rPr>
                <w:rFonts w:hint="eastAsia"/>
                <w:lang w:val="en-US" w:eastAsia="zh-CN"/>
              </w:rPr>
              <w:t>4</w:t>
            </w:r>
          </w:p>
        </w:tc>
        <w:tc>
          <w:tcPr>
            <w:tcW w:w="1758" w:type="dxa"/>
            <w:tcBorders>
              <w:top w:val="single" w:color="auto" w:sz="4" w:space="0"/>
              <w:left w:val="nil"/>
              <w:bottom w:val="nil"/>
              <w:right w:val="nil"/>
            </w:tcBorders>
            <w:shd w:val="clear" w:color="auto" w:fill="FFFFFF"/>
            <w:vAlign w:val="center"/>
          </w:tcPr>
          <w:p>
            <w:pPr>
              <w:widowControl/>
              <w:spacing w:line="360" w:lineRule="auto"/>
              <w:jc w:val="center"/>
              <w:rPr>
                <w:rFonts w:hint="default" w:eastAsia="宋体"/>
                <w:szCs w:val="21"/>
                <w:lang w:val="en-US" w:eastAsia="zh-CN"/>
              </w:rPr>
            </w:pPr>
            <w:r>
              <w:rPr>
                <w:rFonts w:hint="eastAsia"/>
                <w:lang w:val="en-US" w:eastAsia="zh-CN"/>
              </w:rPr>
              <w:t>62.5</w:t>
            </w:r>
          </w:p>
        </w:tc>
        <w:tc>
          <w:tcPr>
            <w:tcW w:w="1844" w:type="dxa"/>
            <w:tcBorders>
              <w:top w:val="single" w:color="auto" w:sz="4" w:space="0"/>
              <w:left w:val="nil"/>
              <w:bottom w:val="nil"/>
              <w:right w:val="nil"/>
            </w:tcBorders>
            <w:shd w:val="clear" w:color="auto" w:fill="FFFFFF"/>
            <w:vAlign w:val="center"/>
          </w:tcPr>
          <w:p>
            <w:pPr>
              <w:spacing w:line="360" w:lineRule="auto"/>
              <w:jc w:val="center"/>
              <w:rPr>
                <w:rFonts w:hint="eastAsia" w:eastAsia="宋体"/>
                <w:szCs w:val="21"/>
                <w:lang w:val="en-US" w:eastAsia="zh-CN"/>
              </w:rPr>
            </w:pPr>
            <w:r>
              <w:rPr>
                <w:rFonts w:hint="eastAsia"/>
                <w:lang w:val="en-US" w:eastAsia="zh-CN"/>
              </w:rPr>
              <w:t>52.5</w:t>
            </w:r>
          </w:p>
        </w:tc>
        <w:tc>
          <w:tcPr>
            <w:tcW w:w="1926" w:type="dxa"/>
            <w:tcBorders>
              <w:top w:val="single" w:color="auto" w:sz="4" w:space="0"/>
              <w:left w:val="nil"/>
              <w:bottom w:val="nil"/>
              <w:right w:val="nil"/>
            </w:tcBorders>
            <w:shd w:val="clear" w:color="auto" w:fill="FFFFFF"/>
            <w:vAlign w:val="center"/>
          </w:tcPr>
          <w:p>
            <w:pPr>
              <w:spacing w:line="360" w:lineRule="auto"/>
              <w:jc w:val="center"/>
              <w:rPr>
                <w:rFonts w:hint="default" w:eastAsia="宋体"/>
                <w:color w:val="000000"/>
                <w:szCs w:val="21"/>
                <w:lang w:val="en-US" w:eastAsia="zh-CN"/>
              </w:rPr>
            </w:pPr>
            <w:r>
              <w:rPr>
                <w:rFonts w:hint="eastAsia"/>
                <w:color w:val="000000"/>
                <w:szCs w:val="21"/>
                <w:lang w:val="en-US" w:eastAsia="zh-CN"/>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335" w:type="dxa"/>
            <w:tcBorders>
              <w:top w:val="nil"/>
              <w:left w:val="nil"/>
              <w:right w:val="nil"/>
            </w:tcBorders>
            <w:shd w:val="clear" w:color="auto" w:fill="FFFFFF"/>
            <w:vAlign w:val="center"/>
          </w:tcPr>
          <w:p>
            <w:pPr>
              <w:widowControl/>
              <w:spacing w:line="360" w:lineRule="auto"/>
              <w:jc w:val="center"/>
              <w:rPr>
                <w:rFonts w:eastAsia="仿宋_GB2312"/>
                <w:color w:val="000000"/>
                <w:szCs w:val="21"/>
              </w:rPr>
            </w:pPr>
            <w:r>
              <w:rPr>
                <w:rFonts w:eastAsia="仿宋_GB2312"/>
                <w:color w:val="000000"/>
                <w:szCs w:val="21"/>
              </w:rPr>
              <w:t>对照</w:t>
            </w:r>
          </w:p>
        </w:tc>
        <w:tc>
          <w:tcPr>
            <w:tcW w:w="1969" w:type="dxa"/>
            <w:tcBorders>
              <w:top w:val="nil"/>
              <w:left w:val="nil"/>
              <w:right w:val="nil"/>
            </w:tcBorders>
            <w:shd w:val="clear" w:color="auto" w:fill="FFFFFF"/>
            <w:vAlign w:val="center"/>
          </w:tcPr>
          <w:p>
            <w:pPr>
              <w:widowControl/>
              <w:spacing w:line="360" w:lineRule="auto"/>
              <w:jc w:val="center"/>
              <w:rPr>
                <w:rFonts w:hint="default" w:eastAsia="宋体"/>
                <w:szCs w:val="21"/>
                <w:lang w:val="en-US" w:eastAsia="zh-CN"/>
              </w:rPr>
            </w:pPr>
            <w:r>
              <w:rPr>
                <w:rFonts w:hint="eastAsia"/>
                <w:lang w:val="en-US" w:eastAsia="zh-CN"/>
              </w:rPr>
              <w:t>0</w:t>
            </w:r>
          </w:p>
        </w:tc>
        <w:tc>
          <w:tcPr>
            <w:tcW w:w="1758" w:type="dxa"/>
            <w:tcBorders>
              <w:top w:val="nil"/>
              <w:left w:val="nil"/>
              <w:right w:val="nil"/>
            </w:tcBorders>
            <w:shd w:val="clear" w:color="auto" w:fill="FFFFFF"/>
            <w:vAlign w:val="center"/>
          </w:tcPr>
          <w:p>
            <w:pPr>
              <w:widowControl/>
              <w:spacing w:line="360" w:lineRule="auto"/>
              <w:jc w:val="center"/>
              <w:rPr>
                <w:rFonts w:hint="default" w:eastAsia="宋体"/>
                <w:szCs w:val="21"/>
                <w:lang w:val="en-US" w:eastAsia="zh-CN"/>
              </w:rPr>
            </w:pPr>
            <w:r>
              <w:rPr>
                <w:rFonts w:hint="eastAsia"/>
                <w:lang w:val="en-US" w:eastAsia="zh-CN"/>
              </w:rPr>
              <w:t>50.6</w:t>
            </w:r>
          </w:p>
        </w:tc>
        <w:tc>
          <w:tcPr>
            <w:tcW w:w="1844" w:type="dxa"/>
            <w:tcBorders>
              <w:top w:val="nil"/>
              <w:left w:val="nil"/>
              <w:right w:val="nil"/>
            </w:tcBorders>
            <w:shd w:val="clear" w:color="auto" w:fill="FFFFFF"/>
            <w:vAlign w:val="center"/>
          </w:tcPr>
          <w:p>
            <w:pPr>
              <w:spacing w:line="360" w:lineRule="auto"/>
              <w:jc w:val="center"/>
              <w:rPr>
                <w:rFonts w:hint="eastAsia" w:eastAsia="宋体"/>
                <w:szCs w:val="21"/>
                <w:lang w:val="en-US" w:eastAsia="zh-CN"/>
              </w:rPr>
            </w:pPr>
            <w:r>
              <w:rPr>
                <w:rFonts w:hint="eastAsia"/>
                <w:lang w:val="en-US" w:eastAsia="zh-CN"/>
              </w:rPr>
              <w:t>43.1</w:t>
            </w:r>
          </w:p>
        </w:tc>
        <w:tc>
          <w:tcPr>
            <w:tcW w:w="1926" w:type="dxa"/>
            <w:tcBorders>
              <w:top w:val="nil"/>
              <w:left w:val="nil"/>
              <w:right w:val="nil"/>
            </w:tcBorders>
            <w:shd w:val="clear" w:color="auto" w:fill="FFFFFF"/>
            <w:vAlign w:val="center"/>
          </w:tcPr>
          <w:p>
            <w:pPr>
              <w:spacing w:line="360" w:lineRule="auto"/>
              <w:jc w:val="center"/>
              <w:rPr>
                <w:rFonts w:hint="default" w:eastAsia="宋体"/>
                <w:color w:val="000000"/>
                <w:szCs w:val="21"/>
                <w:lang w:val="en-US" w:eastAsia="zh-CN"/>
              </w:rPr>
            </w:pPr>
            <w:r>
              <w:rPr>
                <w:rFonts w:hint="eastAsia"/>
                <w:lang w:val="en-US" w:eastAsia="zh-CN"/>
              </w:rPr>
              <w:t>2.61</w:t>
            </w:r>
          </w:p>
        </w:tc>
      </w:tr>
    </w:tbl>
    <w:p>
      <w:pPr>
        <w:adjustRightInd w:val="0"/>
        <w:snapToGrid w:val="0"/>
        <w:spacing w:line="560" w:lineRule="exact"/>
        <w:ind w:firstLine="480" w:firstLineChars="200"/>
        <w:rPr>
          <w:rFonts w:eastAsia="楷体_GB2312"/>
          <w:color w:val="000000"/>
          <w:sz w:val="24"/>
        </w:rPr>
      </w:pPr>
      <w:r>
        <w:rPr>
          <w:rFonts w:hint="eastAsia" w:eastAsia="楷体_GB2312"/>
          <w:color w:val="000000"/>
          <w:sz w:val="24"/>
          <w:lang w:val="en-US" w:eastAsia="zh-CN"/>
        </w:rPr>
        <w:t>5、</w:t>
      </w:r>
      <w:r>
        <w:rPr>
          <w:rFonts w:eastAsia="楷体_GB2312"/>
          <w:color w:val="000000"/>
          <w:sz w:val="24"/>
        </w:rPr>
        <w:t>综合论述</w:t>
      </w:r>
    </w:p>
    <w:p>
      <w:pPr>
        <w:snapToGrid w:val="0"/>
        <w:spacing w:line="560" w:lineRule="exact"/>
        <w:ind w:firstLine="480" w:firstLineChars="200"/>
        <w:rPr>
          <w:rFonts w:eastAsia="仿宋_GB2312"/>
          <w:bCs/>
          <w:sz w:val="28"/>
          <w:szCs w:val="28"/>
        </w:rPr>
      </w:pPr>
      <w:r>
        <w:rPr>
          <w:rFonts w:hint="eastAsia" w:eastAsia="仿宋_GB2312"/>
          <w:sz w:val="24"/>
        </w:rPr>
        <w:t>西葫芦</w:t>
      </w:r>
      <w:r>
        <w:rPr>
          <w:rFonts w:eastAsia="仿宋_GB2312"/>
          <w:sz w:val="24"/>
        </w:rPr>
        <w:t>作为我省</w:t>
      </w:r>
      <w:r>
        <w:rPr>
          <w:rFonts w:hint="eastAsia" w:eastAsia="仿宋_GB2312"/>
          <w:sz w:val="24"/>
          <w:lang w:val="en-US" w:eastAsia="zh-CN"/>
        </w:rPr>
        <w:t>设施栽培面积较大的蔬菜作物之一，</w:t>
      </w:r>
      <w:r>
        <w:rPr>
          <w:rFonts w:eastAsia="仿宋_GB2312"/>
          <w:sz w:val="24"/>
        </w:rPr>
        <w:t>应用固碳生产技术能显著提升产量和品质。制定相应的</w:t>
      </w:r>
      <w:r>
        <w:rPr>
          <w:rFonts w:hint="eastAsia" w:eastAsia="仿宋_GB2312"/>
          <w:sz w:val="24"/>
          <w:lang w:eastAsia="zh-CN"/>
        </w:rPr>
        <w:t>《设施蔬菜固碳生产技术规程 塑料大棚西葫芦》</w:t>
      </w:r>
      <w:r>
        <w:rPr>
          <w:rFonts w:eastAsia="仿宋_GB2312"/>
          <w:sz w:val="24"/>
        </w:rPr>
        <w:t>，可以规范种植技术参数、生产管理过程，提高水肥利用率，提高西葫芦产量，改善</w:t>
      </w:r>
      <w:r>
        <w:rPr>
          <w:rFonts w:hint="eastAsia" w:eastAsia="仿宋_GB2312"/>
          <w:sz w:val="24"/>
          <w:lang w:val="en-US" w:eastAsia="zh-CN"/>
        </w:rPr>
        <w:t>西葫芦</w:t>
      </w:r>
      <w:r>
        <w:rPr>
          <w:rFonts w:eastAsia="仿宋_GB2312"/>
          <w:sz w:val="24"/>
        </w:rPr>
        <w:t>品质</w:t>
      </w:r>
      <w:r>
        <w:rPr>
          <w:rFonts w:hint="eastAsia" w:eastAsia="仿宋_GB2312"/>
          <w:sz w:val="24"/>
          <w:lang w:eastAsia="zh-CN"/>
        </w:rPr>
        <w:t>，</w:t>
      </w:r>
      <w:r>
        <w:rPr>
          <w:rFonts w:hint="eastAsia" w:eastAsia="仿宋_GB2312"/>
          <w:sz w:val="24"/>
          <w:lang w:val="en-US" w:eastAsia="zh-CN"/>
        </w:rPr>
        <w:t>促进工业源CO</w:t>
      </w:r>
      <w:r>
        <w:rPr>
          <w:rFonts w:hint="eastAsia" w:eastAsia="仿宋_GB2312"/>
          <w:sz w:val="24"/>
          <w:vertAlign w:val="subscript"/>
          <w:lang w:val="en-US" w:eastAsia="zh-CN"/>
        </w:rPr>
        <w:t>2</w:t>
      </w:r>
      <w:r>
        <w:rPr>
          <w:rFonts w:hint="eastAsia" w:eastAsia="仿宋_GB2312"/>
          <w:sz w:val="24"/>
          <w:lang w:val="en-US" w:eastAsia="zh-CN"/>
        </w:rPr>
        <w:t>的资源化利用，助推</w:t>
      </w:r>
      <w:r>
        <w:rPr>
          <w:rFonts w:eastAsia="仿宋_GB2312"/>
          <w:sz w:val="24"/>
        </w:rPr>
        <w:t>我省</w:t>
      </w:r>
      <w:r>
        <w:rPr>
          <w:rFonts w:hint="eastAsia" w:eastAsia="仿宋_GB2312"/>
          <w:sz w:val="24"/>
          <w:lang w:val="en-US" w:eastAsia="zh-CN"/>
        </w:rPr>
        <w:t>西葫芦</w:t>
      </w:r>
      <w:r>
        <w:rPr>
          <w:rFonts w:eastAsia="仿宋_GB2312"/>
          <w:sz w:val="24"/>
        </w:rPr>
        <w:t>产业</w:t>
      </w:r>
      <w:r>
        <w:rPr>
          <w:rFonts w:hint="eastAsia" w:eastAsia="仿宋_GB2312"/>
          <w:sz w:val="24"/>
          <w:lang w:val="en-US" w:eastAsia="zh-CN"/>
        </w:rPr>
        <w:t>高质量发展</w:t>
      </w:r>
      <w:r>
        <w:rPr>
          <w:rFonts w:eastAsia="仿宋_GB2312"/>
          <w:sz w:val="24"/>
        </w:rPr>
        <w:t>。</w:t>
      </w:r>
    </w:p>
    <w:p>
      <w:pPr>
        <w:spacing w:line="560" w:lineRule="exact"/>
        <w:ind w:firstLine="480" w:firstLineChars="20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napToGrid w:val="0"/>
        <w:spacing w:line="560" w:lineRule="exact"/>
        <w:ind w:firstLine="480" w:firstLineChars="200"/>
        <w:rPr>
          <w:rFonts w:eastAsia="仿宋_GB2312"/>
          <w:sz w:val="24"/>
        </w:rPr>
      </w:pPr>
      <w:r>
        <w:rPr>
          <w:rFonts w:eastAsia="仿宋_GB2312"/>
          <w:sz w:val="24"/>
        </w:rPr>
        <w:t>本标准在征求意见中无重大意见分歧。</w:t>
      </w:r>
    </w:p>
    <w:p>
      <w:pPr>
        <w:snapToGrid w:val="0"/>
        <w:spacing w:line="560" w:lineRule="exact"/>
        <w:ind w:firstLine="480" w:firstLineChars="200"/>
        <w:rPr>
          <w:rFonts w:eastAsia="仿宋_GB2312"/>
          <w:sz w:val="24"/>
        </w:rPr>
      </w:pPr>
      <w:r>
        <w:rPr>
          <w:rFonts w:eastAsia="仿宋_GB2312"/>
          <w:sz w:val="24"/>
        </w:rPr>
        <w:t>标准形成过程中，编写组认真听取了历次评审专家提出的意见，并先后向</w:t>
      </w:r>
      <w:r>
        <w:rPr>
          <w:rFonts w:hint="eastAsia" w:eastAsia="仿宋_GB2312"/>
          <w:sz w:val="24"/>
        </w:rPr>
        <w:t>山西省蔬菜产业技术体系、</w:t>
      </w:r>
      <w:r>
        <w:rPr>
          <w:rFonts w:eastAsia="仿宋_GB2312"/>
          <w:sz w:val="24"/>
        </w:rPr>
        <w:t>山西省检验检测中心</w:t>
      </w:r>
      <w:r>
        <w:rPr>
          <w:rFonts w:hint="eastAsia" w:eastAsia="仿宋_GB2312"/>
          <w:sz w:val="24"/>
        </w:rPr>
        <w:t>等多位专家和相关实施单位</w:t>
      </w:r>
      <w:r>
        <w:rPr>
          <w:rFonts w:eastAsia="仿宋_GB2312"/>
          <w:sz w:val="24"/>
        </w:rPr>
        <w:t>征求意见。发送征求意见稿</w:t>
      </w:r>
      <w:r>
        <w:rPr>
          <w:rFonts w:hint="eastAsia" w:eastAsia="仿宋_GB2312"/>
          <w:sz w:val="24"/>
        </w:rPr>
        <w:t>6</w:t>
      </w:r>
      <w:r>
        <w:rPr>
          <w:rFonts w:eastAsia="仿宋_GB2312"/>
          <w:sz w:val="24"/>
        </w:rPr>
        <w:t>个，收到征求意见稿</w:t>
      </w:r>
      <w:r>
        <w:rPr>
          <w:rFonts w:hint="eastAsia" w:eastAsia="仿宋_GB2312"/>
          <w:sz w:val="24"/>
        </w:rPr>
        <w:t>6</w:t>
      </w:r>
      <w:r>
        <w:rPr>
          <w:rFonts w:eastAsia="仿宋_GB2312"/>
          <w:sz w:val="24"/>
        </w:rPr>
        <w:t>个，有意见或建议的</w:t>
      </w:r>
      <w:r>
        <w:rPr>
          <w:rFonts w:hint="eastAsia" w:eastAsia="仿宋_GB2312"/>
          <w:sz w:val="24"/>
        </w:rPr>
        <w:t>6</w:t>
      </w:r>
      <w:r>
        <w:rPr>
          <w:rFonts w:eastAsia="仿宋_GB2312"/>
          <w:sz w:val="24"/>
        </w:rPr>
        <w:t>个，没有回函的0个。编写组对收集回来的意见进行了分类、归纳，针对每一条意见都进行了相应的回复。</w:t>
      </w:r>
      <w:r>
        <w:rPr>
          <w:rFonts w:hint="eastAsia" w:eastAsia="仿宋_GB2312"/>
          <w:sz w:val="24"/>
        </w:rPr>
        <w:t>征求意见汇总处理表见附表。</w:t>
      </w:r>
    </w:p>
    <w:p>
      <w:pPr>
        <w:spacing w:line="560" w:lineRule="exact"/>
        <w:ind w:firstLine="480" w:firstLineChars="20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adjustRightInd w:val="0"/>
        <w:snapToGrid w:val="0"/>
        <w:spacing w:line="560" w:lineRule="exact"/>
        <w:ind w:firstLine="480" w:firstLineChars="200"/>
        <w:rPr>
          <w:rFonts w:eastAsia="仿宋_GB2312"/>
          <w:sz w:val="24"/>
        </w:rPr>
      </w:pPr>
      <w:r>
        <w:rPr>
          <w:rFonts w:eastAsia="仿宋_GB2312"/>
          <w:sz w:val="24"/>
        </w:rPr>
        <w:t>本标准与国际标准不发生关系。</w:t>
      </w:r>
    </w:p>
    <w:p>
      <w:pPr>
        <w:spacing w:line="560" w:lineRule="exact"/>
        <w:ind w:firstLine="480" w:firstLineChars="200"/>
        <w:rPr>
          <w:rFonts w:ascii="仿宋_GB2312" w:hAnsi="宋体" w:eastAsia="仿宋_GB2312"/>
          <w:sz w:val="24"/>
        </w:rPr>
      </w:pPr>
      <w:r>
        <w:rPr>
          <w:rFonts w:ascii="仿宋_GB2312" w:hAnsi="宋体" w:eastAsia="仿宋_GB2312"/>
          <w:sz w:val="24"/>
        </w:rPr>
        <w:t>本标准严格遵循国家标准、行业标准在</w:t>
      </w:r>
      <w:r>
        <w:rPr>
          <w:rFonts w:hint="eastAsia" w:ascii="仿宋_GB2312" w:hAnsi="宋体" w:eastAsia="仿宋_GB2312"/>
          <w:sz w:val="24"/>
        </w:rPr>
        <w:t>塑料大棚西葫芦</w:t>
      </w:r>
      <w:r>
        <w:rPr>
          <w:rFonts w:ascii="仿宋_GB2312" w:hAnsi="宋体" w:eastAsia="仿宋_GB2312"/>
          <w:sz w:val="24"/>
        </w:rPr>
        <w:t>生产方面的相关规定，同时也参考了部分国家标准</w:t>
      </w:r>
      <w:r>
        <w:rPr>
          <w:rFonts w:hint="eastAsia" w:ascii="仿宋_GB2312" w:hAnsi="宋体" w:eastAsia="仿宋_GB2312"/>
          <w:sz w:val="24"/>
        </w:rPr>
        <w:t>、行业标准</w:t>
      </w:r>
      <w:r>
        <w:rPr>
          <w:rFonts w:ascii="仿宋_GB2312" w:hAnsi="宋体" w:eastAsia="仿宋_GB2312"/>
          <w:sz w:val="24"/>
        </w:rPr>
        <w:t>和山西省地方标准（表</w:t>
      </w:r>
      <w:r>
        <w:rPr>
          <w:rFonts w:eastAsia="仿宋_GB2312"/>
          <w:sz w:val="24"/>
        </w:rPr>
        <w:t>1</w:t>
      </w:r>
      <w:r>
        <w:rPr>
          <w:rFonts w:ascii="仿宋_GB2312" w:hAnsi="宋体" w:eastAsia="仿宋_GB2312"/>
          <w:sz w:val="24"/>
        </w:rPr>
        <w:t>）的相关内容。本标准立足山西实际，</w:t>
      </w:r>
      <w:r>
        <w:rPr>
          <w:rFonts w:hint="eastAsia" w:ascii="仿宋_GB2312" w:hAnsi="宋体" w:eastAsia="仿宋_GB2312"/>
          <w:sz w:val="24"/>
        </w:rPr>
        <w:t>修订</w:t>
      </w:r>
      <w:r>
        <w:rPr>
          <w:rFonts w:ascii="仿宋_GB2312" w:hAnsi="宋体" w:eastAsia="仿宋_GB2312"/>
          <w:sz w:val="24"/>
        </w:rPr>
        <w:t>了</w:t>
      </w:r>
      <w:r>
        <w:rPr>
          <w:rFonts w:hint="eastAsia" w:ascii="仿宋_GB2312" w:hAnsi="宋体" w:eastAsia="仿宋_GB2312"/>
          <w:sz w:val="24"/>
        </w:rPr>
        <w:t>塑料大棚西葫芦</w:t>
      </w:r>
      <w:r>
        <w:rPr>
          <w:rFonts w:ascii="仿宋_GB2312" w:hAnsi="宋体" w:eastAsia="仿宋_GB2312"/>
          <w:sz w:val="24"/>
        </w:rPr>
        <w:t>高效固碳</w:t>
      </w:r>
      <w:r>
        <w:rPr>
          <w:rFonts w:hint="eastAsia" w:ascii="仿宋_GB2312" w:hAnsi="宋体" w:eastAsia="仿宋_GB2312"/>
          <w:sz w:val="24"/>
        </w:rPr>
        <w:t>生产</w:t>
      </w:r>
      <w:r>
        <w:rPr>
          <w:rFonts w:ascii="仿宋_GB2312" w:hAnsi="宋体" w:eastAsia="仿宋_GB2312"/>
          <w:sz w:val="24"/>
        </w:rPr>
        <w:t>的大棚结构与性能、茬口安排、种苗、整地施肥、定植、田间管理、二氧化碳施肥、采收等技术环节</w:t>
      </w:r>
      <w:r>
        <w:rPr>
          <w:rFonts w:hint="eastAsia" w:ascii="仿宋_GB2312" w:hAnsi="宋体" w:eastAsia="仿宋_GB2312"/>
          <w:sz w:val="24"/>
        </w:rPr>
        <w:t>，</w:t>
      </w:r>
      <w:r>
        <w:rPr>
          <w:rFonts w:ascii="仿宋_GB2312" w:hAnsi="宋体" w:eastAsia="仿宋_GB2312"/>
          <w:sz w:val="24"/>
        </w:rPr>
        <w:t>具有可操作性强、简单易行等特点。</w:t>
      </w:r>
    </w:p>
    <w:p>
      <w:pPr>
        <w:autoSpaceDE w:val="0"/>
        <w:autoSpaceDN w:val="0"/>
        <w:adjustRightInd w:val="0"/>
        <w:snapToGrid w:val="0"/>
        <w:spacing w:line="560" w:lineRule="exact"/>
        <w:ind w:firstLine="480" w:firstLineChars="200"/>
        <w:jc w:val="center"/>
        <w:rPr>
          <w:rFonts w:eastAsia="黑体"/>
          <w:b/>
          <w:sz w:val="24"/>
        </w:rPr>
      </w:pPr>
      <w:r>
        <w:rPr>
          <w:rFonts w:ascii="仿宋_GB2312" w:hAnsi="宋体" w:eastAsia="仿宋_GB2312"/>
          <w:sz w:val="24"/>
        </w:rPr>
        <w:t>表</w:t>
      </w:r>
      <w:r>
        <w:rPr>
          <w:rFonts w:eastAsia="黑体"/>
          <w:bCs/>
          <w:sz w:val="24"/>
        </w:rPr>
        <w:t xml:space="preserve">1  </w:t>
      </w:r>
      <w:r>
        <w:rPr>
          <w:rFonts w:ascii="仿宋_GB2312" w:hAnsi="宋体" w:eastAsia="仿宋_GB2312"/>
          <w:sz w:val="24"/>
        </w:rPr>
        <w:t>相关参考标准</w:t>
      </w:r>
    </w:p>
    <w:tbl>
      <w:tblPr>
        <w:tblStyle w:val="13"/>
        <w:tblW w:w="8278"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08"/>
        <w:gridCol w:w="1634"/>
        <w:gridCol w:w="5836"/>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tcBorders>
              <w:top w:val="single" w:color="auto" w:sz="12" w:space="0"/>
              <w:bottom w:val="single" w:color="auto" w:sz="4" w:space="0"/>
            </w:tcBorders>
            <w:vAlign w:val="center"/>
          </w:tcPr>
          <w:p>
            <w:pPr>
              <w:adjustRightInd w:val="0"/>
              <w:snapToGrid w:val="0"/>
              <w:jc w:val="center"/>
              <w:rPr>
                <w:b/>
                <w:kern w:val="0"/>
                <w:sz w:val="24"/>
              </w:rPr>
            </w:pPr>
            <w:r>
              <w:rPr>
                <w:rFonts w:ascii="仿宋_GB2312" w:hAnsi="宋体" w:eastAsia="仿宋_GB2312"/>
                <w:sz w:val="24"/>
              </w:rPr>
              <w:t>编号</w:t>
            </w:r>
          </w:p>
        </w:tc>
        <w:tc>
          <w:tcPr>
            <w:tcW w:w="1634" w:type="dxa"/>
            <w:tcBorders>
              <w:top w:val="single" w:color="auto" w:sz="12" w:space="0"/>
              <w:bottom w:val="single" w:color="auto" w:sz="4" w:space="0"/>
            </w:tcBorders>
            <w:vAlign w:val="center"/>
          </w:tcPr>
          <w:p>
            <w:pPr>
              <w:adjustRightInd w:val="0"/>
              <w:snapToGrid w:val="0"/>
              <w:jc w:val="center"/>
              <w:rPr>
                <w:b/>
                <w:kern w:val="0"/>
                <w:sz w:val="24"/>
              </w:rPr>
            </w:pPr>
            <w:r>
              <w:rPr>
                <w:rFonts w:ascii="仿宋_GB2312" w:hAnsi="宋体" w:eastAsia="仿宋_GB2312"/>
                <w:sz w:val="24"/>
              </w:rPr>
              <w:t>标准号</w:t>
            </w:r>
          </w:p>
        </w:tc>
        <w:tc>
          <w:tcPr>
            <w:tcW w:w="5836" w:type="dxa"/>
            <w:tcBorders>
              <w:top w:val="single" w:color="auto" w:sz="12" w:space="0"/>
              <w:bottom w:val="single" w:color="auto" w:sz="4" w:space="0"/>
            </w:tcBorders>
            <w:vAlign w:val="center"/>
          </w:tcPr>
          <w:p>
            <w:pPr>
              <w:adjustRightInd w:val="0"/>
              <w:snapToGrid w:val="0"/>
              <w:jc w:val="center"/>
              <w:rPr>
                <w:b/>
                <w:kern w:val="0"/>
                <w:sz w:val="24"/>
              </w:rPr>
            </w:pPr>
            <w:r>
              <w:rPr>
                <w:rFonts w:ascii="仿宋_GB2312" w:hAnsi="宋体" w:eastAsia="仿宋_GB2312"/>
                <w:sz w:val="24"/>
              </w:rPr>
              <w:t>标准名称</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tcBorders>
              <w:top w:val="single" w:color="auto" w:sz="4" w:space="0"/>
              <w:bottom w:val="nil"/>
            </w:tcBorders>
            <w:vAlign w:val="center"/>
          </w:tcPr>
          <w:p>
            <w:pPr>
              <w:adjustRightInd w:val="0"/>
              <w:snapToGrid w:val="0"/>
              <w:jc w:val="center"/>
              <w:rPr>
                <w:sz w:val="24"/>
              </w:rPr>
            </w:pPr>
            <w:r>
              <w:rPr>
                <w:sz w:val="24"/>
              </w:rPr>
              <w:t>1</w:t>
            </w:r>
          </w:p>
        </w:tc>
        <w:tc>
          <w:tcPr>
            <w:tcW w:w="1634" w:type="dxa"/>
            <w:tcBorders>
              <w:top w:val="single" w:color="auto" w:sz="4" w:space="0"/>
              <w:bottom w:val="nil"/>
            </w:tcBorders>
            <w:vAlign w:val="center"/>
          </w:tcPr>
          <w:p>
            <w:pPr>
              <w:adjustRightInd w:val="0"/>
              <w:snapToGrid w:val="0"/>
              <w:jc w:val="center"/>
              <w:rPr>
                <w:sz w:val="24"/>
              </w:rPr>
            </w:pPr>
            <w:r>
              <w:rPr>
                <w:sz w:val="24"/>
              </w:rPr>
              <w:t>GB</w:t>
            </w:r>
            <w:r>
              <w:rPr>
                <w:rFonts w:hint="eastAsia"/>
                <w:sz w:val="24"/>
              </w:rPr>
              <w:t xml:space="preserve"> </w:t>
            </w:r>
            <w:r>
              <w:rPr>
                <w:sz w:val="24"/>
              </w:rPr>
              <w:t>16715.1</w:t>
            </w:r>
          </w:p>
        </w:tc>
        <w:tc>
          <w:tcPr>
            <w:tcW w:w="5836" w:type="dxa"/>
            <w:tcBorders>
              <w:top w:val="single" w:color="auto" w:sz="4" w:space="0"/>
              <w:bottom w:val="nil"/>
            </w:tcBorders>
            <w:vAlign w:val="center"/>
          </w:tcPr>
          <w:p>
            <w:pPr>
              <w:adjustRightInd w:val="0"/>
              <w:snapToGrid w:val="0"/>
              <w:jc w:val="center"/>
              <w:rPr>
                <w:sz w:val="24"/>
              </w:rPr>
            </w:pPr>
            <w:r>
              <w:rPr>
                <w:rFonts w:ascii="仿宋_GB2312" w:hAnsi="宋体" w:eastAsia="仿宋_GB2312"/>
                <w:sz w:val="24"/>
              </w:rPr>
              <w:t xml:space="preserve">瓜菜作物种子 </w:t>
            </w:r>
            <w:r>
              <w:rPr>
                <w:rFonts w:hint="eastAsia" w:ascii="仿宋_GB2312" w:hAnsi="宋体" w:eastAsia="仿宋_GB2312"/>
                <w:sz w:val="24"/>
              </w:rPr>
              <w:t>第</w:t>
            </w:r>
            <w:r>
              <w:rPr>
                <w:rFonts w:eastAsia="仿宋_GB2312"/>
                <w:sz w:val="24"/>
              </w:rPr>
              <w:t>1</w:t>
            </w:r>
            <w:r>
              <w:rPr>
                <w:rFonts w:hint="eastAsia" w:ascii="仿宋_GB2312" w:hAnsi="宋体" w:eastAsia="仿宋_GB2312"/>
                <w:sz w:val="24"/>
              </w:rPr>
              <w:t>部分：</w:t>
            </w:r>
            <w:r>
              <w:rPr>
                <w:rFonts w:ascii="仿宋_GB2312" w:hAnsi="宋体" w:eastAsia="仿宋_GB2312"/>
                <w:sz w:val="24"/>
              </w:rPr>
              <w:t>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tcBorders>
              <w:top w:val="nil"/>
            </w:tcBorders>
            <w:vAlign w:val="center"/>
          </w:tcPr>
          <w:p>
            <w:pPr>
              <w:adjustRightInd w:val="0"/>
              <w:snapToGrid w:val="0"/>
              <w:jc w:val="center"/>
              <w:rPr>
                <w:sz w:val="24"/>
              </w:rPr>
            </w:pPr>
            <w:r>
              <w:rPr>
                <w:sz w:val="24"/>
              </w:rPr>
              <w:t>2</w:t>
            </w:r>
          </w:p>
        </w:tc>
        <w:tc>
          <w:tcPr>
            <w:tcW w:w="1634" w:type="dxa"/>
            <w:tcBorders>
              <w:top w:val="nil"/>
            </w:tcBorders>
            <w:vAlign w:val="center"/>
          </w:tcPr>
          <w:p>
            <w:pPr>
              <w:adjustRightInd w:val="0"/>
              <w:snapToGrid w:val="0"/>
              <w:jc w:val="center"/>
              <w:rPr>
                <w:sz w:val="24"/>
              </w:rPr>
            </w:pPr>
            <w:r>
              <w:rPr>
                <w:sz w:val="24"/>
              </w:rPr>
              <w:t>GB/T 17187</w:t>
            </w:r>
          </w:p>
        </w:tc>
        <w:tc>
          <w:tcPr>
            <w:tcW w:w="5836" w:type="dxa"/>
            <w:tcBorders>
              <w:top w:val="nil"/>
            </w:tcBorders>
            <w:vAlign w:val="center"/>
          </w:tcPr>
          <w:p>
            <w:pPr>
              <w:adjustRightInd w:val="0"/>
              <w:snapToGrid w:val="0"/>
              <w:jc w:val="center"/>
              <w:rPr>
                <w:sz w:val="24"/>
              </w:rPr>
            </w:pPr>
            <w:r>
              <w:rPr>
                <w:rFonts w:ascii="仿宋_GB2312" w:hAnsi="宋体" w:eastAsia="仿宋_GB2312"/>
                <w:sz w:val="24"/>
              </w:rPr>
              <w:t>农业灌溉设备 滴头和滴灌管 技术规范和试验方法</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vAlign w:val="center"/>
          </w:tcPr>
          <w:p>
            <w:pPr>
              <w:adjustRightInd w:val="0"/>
              <w:snapToGrid w:val="0"/>
              <w:jc w:val="center"/>
              <w:rPr>
                <w:sz w:val="24"/>
              </w:rPr>
            </w:pPr>
            <w:r>
              <w:rPr>
                <w:sz w:val="24"/>
              </w:rPr>
              <w:t>3</w:t>
            </w:r>
          </w:p>
        </w:tc>
        <w:tc>
          <w:tcPr>
            <w:tcW w:w="1634" w:type="dxa"/>
            <w:vAlign w:val="center"/>
          </w:tcPr>
          <w:p>
            <w:pPr>
              <w:adjustRightInd w:val="0"/>
              <w:snapToGrid w:val="0"/>
              <w:jc w:val="center"/>
              <w:rPr>
                <w:sz w:val="24"/>
              </w:rPr>
            </w:pPr>
            <w:r>
              <w:rPr>
                <w:sz w:val="24"/>
              </w:rPr>
              <w:t>GB/T</w:t>
            </w:r>
            <w:r>
              <w:rPr>
                <w:rFonts w:hint="eastAsia"/>
                <w:sz w:val="24"/>
                <w:lang w:val="en-US" w:eastAsia="zh-CN"/>
              </w:rPr>
              <w:t xml:space="preserve"> 23416.3</w:t>
            </w:r>
          </w:p>
        </w:tc>
        <w:tc>
          <w:tcPr>
            <w:tcW w:w="5836" w:type="dxa"/>
            <w:vAlign w:val="center"/>
          </w:tcPr>
          <w:p>
            <w:pPr>
              <w:adjustRightInd w:val="0"/>
              <w:snapToGrid w:val="0"/>
              <w:jc w:val="center"/>
              <w:rPr>
                <w:sz w:val="24"/>
              </w:rPr>
            </w:pPr>
            <w:r>
              <w:rPr>
                <w:rFonts w:hint="eastAsia" w:ascii="仿宋_GB2312" w:hAnsi="宋体" w:eastAsia="仿宋_GB2312"/>
                <w:sz w:val="24"/>
              </w:rPr>
              <w:t>蔬菜病虫害安全防治技术规范</w:t>
            </w:r>
            <w:r>
              <w:rPr>
                <w:rFonts w:hint="eastAsia" w:ascii="仿宋_GB2312" w:hAnsi="宋体" w:eastAsia="仿宋_GB2312"/>
                <w:sz w:val="24"/>
                <w:lang w:eastAsia="zh-CN"/>
              </w:rPr>
              <w:t xml:space="preserve"> </w:t>
            </w:r>
            <w:r>
              <w:rPr>
                <w:rFonts w:hint="eastAsia" w:ascii="仿宋_GB2312" w:hAnsi="宋体" w:eastAsia="仿宋_GB2312"/>
                <w:sz w:val="24"/>
              </w:rPr>
              <w:t>第2部分：瓜类</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vAlign w:val="center"/>
          </w:tcPr>
          <w:p>
            <w:pPr>
              <w:adjustRightInd w:val="0"/>
              <w:snapToGrid w:val="0"/>
              <w:jc w:val="center"/>
              <w:rPr>
                <w:sz w:val="24"/>
              </w:rPr>
            </w:pPr>
            <w:r>
              <w:rPr>
                <w:sz w:val="24"/>
              </w:rPr>
              <w:t>4</w:t>
            </w:r>
          </w:p>
        </w:tc>
        <w:tc>
          <w:tcPr>
            <w:tcW w:w="1634" w:type="dxa"/>
            <w:vAlign w:val="center"/>
          </w:tcPr>
          <w:p>
            <w:pPr>
              <w:adjustRightInd w:val="0"/>
              <w:snapToGrid w:val="0"/>
              <w:jc w:val="center"/>
              <w:rPr>
                <w:sz w:val="24"/>
              </w:rPr>
            </w:pPr>
            <w:r>
              <w:rPr>
                <w:sz w:val="24"/>
              </w:rPr>
              <w:t>NY/T 3696</w:t>
            </w:r>
          </w:p>
        </w:tc>
        <w:tc>
          <w:tcPr>
            <w:tcW w:w="5836" w:type="dxa"/>
            <w:vAlign w:val="center"/>
          </w:tcPr>
          <w:p>
            <w:pPr>
              <w:adjustRightInd w:val="0"/>
              <w:snapToGrid w:val="0"/>
              <w:jc w:val="center"/>
              <w:rPr>
                <w:sz w:val="24"/>
              </w:rPr>
            </w:pPr>
            <w:r>
              <w:rPr>
                <w:rFonts w:ascii="仿宋_GB2312" w:hAnsi="宋体" w:eastAsia="仿宋_GB2312"/>
                <w:sz w:val="24"/>
              </w:rPr>
              <w:t>设施蔬菜水肥一体化技术规范</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vAlign w:val="center"/>
          </w:tcPr>
          <w:p>
            <w:pPr>
              <w:adjustRightInd w:val="0"/>
              <w:snapToGrid w:val="0"/>
              <w:jc w:val="center"/>
              <w:rPr>
                <w:sz w:val="24"/>
              </w:rPr>
            </w:pPr>
            <w:r>
              <w:rPr>
                <w:sz w:val="24"/>
              </w:rPr>
              <w:t>5</w:t>
            </w:r>
          </w:p>
        </w:tc>
        <w:tc>
          <w:tcPr>
            <w:tcW w:w="1634" w:type="dxa"/>
            <w:vAlign w:val="center"/>
          </w:tcPr>
          <w:p>
            <w:pPr>
              <w:adjustRightInd w:val="0"/>
              <w:snapToGrid w:val="0"/>
              <w:jc w:val="center"/>
              <w:rPr>
                <w:sz w:val="24"/>
              </w:rPr>
            </w:pPr>
            <w:r>
              <w:rPr>
                <w:rFonts w:hint="eastAsia"/>
                <w:sz w:val="24"/>
              </w:rPr>
              <w:t>JB/T 10594</w:t>
            </w:r>
          </w:p>
        </w:tc>
        <w:tc>
          <w:tcPr>
            <w:tcW w:w="5836" w:type="dxa"/>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日光温室和塑料大棚结构与性能</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vAlign w:val="center"/>
          </w:tcPr>
          <w:p>
            <w:pPr>
              <w:adjustRightInd w:val="0"/>
              <w:snapToGrid w:val="0"/>
              <w:jc w:val="center"/>
              <w:rPr>
                <w:sz w:val="24"/>
              </w:rPr>
            </w:pPr>
            <w:r>
              <w:rPr>
                <w:sz w:val="24"/>
              </w:rPr>
              <w:t>6</w:t>
            </w:r>
          </w:p>
        </w:tc>
        <w:tc>
          <w:tcPr>
            <w:tcW w:w="1634" w:type="dxa"/>
            <w:vAlign w:val="center"/>
          </w:tcPr>
          <w:p>
            <w:pPr>
              <w:adjustRightInd w:val="0"/>
              <w:snapToGrid w:val="0"/>
              <w:jc w:val="center"/>
              <w:rPr>
                <w:sz w:val="24"/>
              </w:rPr>
            </w:pPr>
            <w:r>
              <w:rPr>
                <w:sz w:val="24"/>
              </w:rPr>
              <w:t>DB14/T 1281</w:t>
            </w:r>
          </w:p>
        </w:tc>
        <w:tc>
          <w:tcPr>
            <w:tcW w:w="5836" w:type="dxa"/>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设施蔬菜固碳生产技术规程 育苗</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08" w:type="dxa"/>
            <w:vAlign w:val="center"/>
          </w:tcPr>
          <w:p>
            <w:pPr>
              <w:adjustRightInd w:val="0"/>
              <w:snapToGrid w:val="0"/>
              <w:jc w:val="center"/>
              <w:rPr>
                <w:sz w:val="24"/>
              </w:rPr>
            </w:pPr>
            <w:r>
              <w:rPr>
                <w:sz w:val="24"/>
              </w:rPr>
              <w:t>7</w:t>
            </w:r>
          </w:p>
        </w:tc>
        <w:tc>
          <w:tcPr>
            <w:tcW w:w="1634" w:type="dxa"/>
            <w:vAlign w:val="center"/>
          </w:tcPr>
          <w:p>
            <w:pPr>
              <w:adjustRightInd w:val="0"/>
              <w:snapToGrid w:val="0"/>
              <w:jc w:val="center"/>
              <w:rPr>
                <w:sz w:val="24"/>
              </w:rPr>
            </w:pPr>
            <w:r>
              <w:rPr>
                <w:sz w:val="24"/>
              </w:rPr>
              <w:t>DB14/T 1288</w:t>
            </w:r>
          </w:p>
        </w:tc>
        <w:tc>
          <w:tcPr>
            <w:tcW w:w="5836" w:type="dxa"/>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设施蔬菜二氧化碳施肥技术规程</w:t>
            </w:r>
          </w:p>
        </w:tc>
      </w:tr>
    </w:tbl>
    <w:p>
      <w:pPr>
        <w:spacing w:line="560" w:lineRule="exact"/>
        <w:ind w:firstLine="480" w:firstLineChars="200"/>
        <w:rPr>
          <w:rFonts w:ascii="黑体" w:eastAsia="黑体"/>
          <w:sz w:val="24"/>
        </w:rPr>
      </w:pPr>
      <w:r>
        <w:rPr>
          <w:rFonts w:hint="eastAsia" w:ascii="黑体" w:eastAsia="黑体"/>
          <w:sz w:val="24"/>
        </w:rPr>
        <w:t>八、</w:t>
      </w:r>
      <w:r>
        <w:rPr>
          <w:rFonts w:hint="eastAsia" w:ascii="黑体" w:hAnsi="黑体" w:eastAsia="黑体"/>
          <w:sz w:val="24"/>
        </w:rPr>
        <w:t>作为推荐性标准或者强制性标准的建议及其理由。</w:t>
      </w:r>
    </w:p>
    <w:p>
      <w:pPr>
        <w:pStyle w:val="29"/>
        <w:widowControl w:val="0"/>
        <w:snapToGrid w:val="0"/>
        <w:spacing w:line="560" w:lineRule="exact"/>
        <w:ind w:firstLine="480"/>
        <w:rPr>
          <w:rFonts w:ascii="Times New Roman" w:eastAsia="仿宋_GB2312"/>
          <w:sz w:val="24"/>
          <w:szCs w:val="24"/>
        </w:rPr>
      </w:pPr>
      <w:r>
        <w:rPr>
          <w:rFonts w:ascii="Times New Roman" w:eastAsia="仿宋_GB2312"/>
          <w:sz w:val="24"/>
          <w:szCs w:val="24"/>
        </w:rPr>
        <w:t>建议本标准作为推荐性山西省地方标准发布实施。</w:t>
      </w:r>
    </w:p>
    <w:p>
      <w:pPr>
        <w:pStyle w:val="29"/>
        <w:widowControl w:val="0"/>
        <w:snapToGrid w:val="0"/>
        <w:spacing w:line="560" w:lineRule="exact"/>
        <w:ind w:firstLine="480"/>
        <w:rPr>
          <w:rFonts w:ascii="Times New Roman" w:eastAsia="仿宋_GB2312"/>
          <w:sz w:val="24"/>
          <w:szCs w:val="24"/>
        </w:rPr>
      </w:pPr>
      <w:r>
        <w:rPr>
          <w:rFonts w:hint="eastAsia" w:eastAsia="仿宋_GB2312"/>
          <w:sz w:val="24"/>
          <w:szCs w:val="24"/>
        </w:rPr>
        <w:t>本标准是在实际调研基础上，结合多个项目研究结果并征求相关方面专家意见后形成的，对于我省塑料大棚西葫芦高效固碳生产具有指导和规范作用，可有效推动我省西葫芦产业健康发展，实现塑料大棚西葫芦增产</w:t>
      </w:r>
      <w:r>
        <w:rPr>
          <w:rFonts w:ascii="Times New Roman" w:eastAsia="仿宋_GB2312"/>
          <w:sz w:val="24"/>
          <w:szCs w:val="24"/>
        </w:rPr>
        <w:t>15%</w:t>
      </w:r>
      <w:r>
        <w:rPr>
          <w:rFonts w:hint="eastAsia" w:eastAsia="仿宋_GB2312"/>
          <w:sz w:val="24"/>
          <w:szCs w:val="24"/>
        </w:rPr>
        <w:t>以上。同时，通过该标准的宣贯实施，有助于培养新型职业农民，稳定农民就业，促进农村社会和谐。本标准的实施，还有利于富碳农业产业的发展，既可以在相对密闭的设施内增加</w:t>
      </w:r>
      <w:r>
        <w:rPr>
          <w:rFonts w:ascii="Times New Roman" w:eastAsia="仿宋_GB2312"/>
          <w:sz w:val="24"/>
          <w:szCs w:val="24"/>
        </w:rPr>
        <w:t>CO</w:t>
      </w:r>
      <w:r>
        <w:rPr>
          <w:rFonts w:ascii="Times New Roman" w:eastAsia="仿宋_GB2312"/>
          <w:sz w:val="24"/>
          <w:szCs w:val="24"/>
          <w:vertAlign w:val="subscript"/>
        </w:rPr>
        <w:t>2</w:t>
      </w:r>
      <w:r>
        <w:rPr>
          <w:rFonts w:hint="eastAsia" w:eastAsia="仿宋_GB2312"/>
          <w:sz w:val="24"/>
          <w:szCs w:val="24"/>
        </w:rPr>
        <w:t>浓度提高西葫芦的光合固碳效能，也可以通过环境调控创造最佳固碳条件，达到固碳、减排、节能的目的。</w:t>
      </w:r>
    </w:p>
    <w:p>
      <w:pPr>
        <w:spacing w:line="560" w:lineRule="exact"/>
        <w:ind w:firstLine="480" w:firstLineChars="20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spacing w:line="560" w:lineRule="exact"/>
        <w:ind w:firstLine="480" w:firstLineChars="200"/>
        <w:rPr>
          <w:b/>
          <w:bCs/>
          <w:sz w:val="24"/>
        </w:rPr>
      </w:pPr>
      <w:r>
        <w:rPr>
          <w:rFonts w:eastAsia="仿宋_GB2312"/>
          <w:sz w:val="24"/>
        </w:rPr>
        <w:t>1</w:t>
      </w:r>
      <w:r>
        <w:rPr>
          <w:rFonts w:hint="eastAsia" w:eastAsia="楷体_GB2312"/>
          <w:sz w:val="24"/>
        </w:rPr>
        <w:t>、加大媒体宣传力度</w:t>
      </w:r>
    </w:p>
    <w:p>
      <w:pPr>
        <w:pStyle w:val="29"/>
        <w:widowControl w:val="0"/>
        <w:snapToGrid w:val="0"/>
        <w:spacing w:line="560" w:lineRule="exact"/>
        <w:ind w:firstLine="480"/>
        <w:rPr>
          <w:rFonts w:ascii="Times New Roman" w:eastAsia="仿宋_GB2312"/>
          <w:sz w:val="24"/>
          <w:szCs w:val="24"/>
        </w:rPr>
      </w:pPr>
      <w:r>
        <w:rPr>
          <w:rFonts w:hint="eastAsia" w:ascii="Times New Roman" w:eastAsia="仿宋_GB2312"/>
          <w:sz w:val="24"/>
          <w:szCs w:val="24"/>
        </w:rPr>
        <w:t>把标准的实施作为山西省设施蔬菜产业高质量发展的重要举措，作为山西省蔬菜产业技术体系的重点工作，在“山西农业网蔬菜子网”、“山西蔬菜微信”等媒体开辟专栏，在国内主要蔬菜期刊、杂志和报纸上对标准进行专题介绍和宣传，将该技术标准普及到基层生产企业和农民手中。</w:t>
      </w:r>
    </w:p>
    <w:p>
      <w:pPr>
        <w:widowControl/>
        <w:adjustRightInd w:val="0"/>
        <w:snapToGrid w:val="0"/>
        <w:spacing w:line="560" w:lineRule="exact"/>
        <w:ind w:firstLine="480" w:firstLineChars="200"/>
        <w:rPr>
          <w:rFonts w:eastAsia="楷体_GB2312"/>
          <w:sz w:val="24"/>
        </w:rPr>
      </w:pPr>
      <w:r>
        <w:rPr>
          <w:rFonts w:eastAsia="仿宋_GB2312"/>
          <w:sz w:val="24"/>
        </w:rPr>
        <w:t>2</w:t>
      </w:r>
      <w:r>
        <w:rPr>
          <w:rFonts w:hint="eastAsia" w:eastAsia="楷体_GB2312"/>
          <w:sz w:val="24"/>
        </w:rPr>
        <w:t>、建立标准化示范园</w:t>
      </w:r>
    </w:p>
    <w:p>
      <w:pPr>
        <w:widowControl/>
        <w:adjustRightInd w:val="0"/>
        <w:snapToGrid w:val="0"/>
        <w:spacing w:line="560" w:lineRule="exact"/>
        <w:ind w:firstLine="480" w:firstLineChars="200"/>
        <w:rPr>
          <w:rFonts w:ascii="宋体" w:hAnsi="宋体" w:cs="宋体"/>
          <w:sz w:val="24"/>
        </w:rPr>
      </w:pPr>
      <w:r>
        <w:rPr>
          <w:rFonts w:hint="eastAsia" w:eastAsia="仿宋_GB2312"/>
          <w:kern w:val="0"/>
          <w:sz w:val="24"/>
        </w:rPr>
        <w:t>通过在山西省境内主要蔬菜园区、合作社或企业建立该标准示范点，树立样板，奖励典型，以点带面，推进本标准的广泛实施。</w:t>
      </w:r>
    </w:p>
    <w:p>
      <w:pPr>
        <w:spacing w:line="560" w:lineRule="exact"/>
        <w:ind w:firstLine="480" w:firstLineChars="200"/>
        <w:rPr>
          <w:rFonts w:eastAsia="楷体_GB2312"/>
          <w:sz w:val="24"/>
        </w:rPr>
      </w:pPr>
      <w:r>
        <w:rPr>
          <w:rFonts w:eastAsia="仿宋_GB2312"/>
          <w:sz w:val="24"/>
        </w:rPr>
        <w:t>3</w:t>
      </w:r>
      <w:r>
        <w:rPr>
          <w:rFonts w:hint="eastAsia" w:eastAsia="楷体_GB2312"/>
          <w:sz w:val="24"/>
        </w:rPr>
        <w:t>、加强技术培训</w:t>
      </w:r>
    </w:p>
    <w:p>
      <w:pPr>
        <w:pStyle w:val="29"/>
        <w:widowControl w:val="0"/>
        <w:snapToGrid w:val="0"/>
        <w:spacing w:line="560" w:lineRule="exact"/>
        <w:ind w:firstLine="480"/>
        <w:rPr>
          <w:rFonts w:eastAsia="仿宋_GB2312"/>
          <w:sz w:val="24"/>
        </w:rPr>
      </w:pPr>
      <w:r>
        <w:rPr>
          <w:rFonts w:hint="eastAsia" w:ascii="Times New Roman" w:eastAsia="仿宋_GB2312"/>
          <w:sz w:val="24"/>
          <w:szCs w:val="24"/>
        </w:rPr>
        <w:t>在本标准发布实施初期，在各个示范点开展系统的技术培训及现场指导，做好技术示范，深入田间指导，确保塑料大棚西葫芦高效固碳生产技术进村入户。</w:t>
      </w:r>
    </w:p>
    <w:p>
      <w:pPr>
        <w:spacing w:line="560" w:lineRule="exact"/>
        <w:ind w:firstLine="480" w:firstLineChars="200"/>
        <w:jc w:val="left"/>
        <w:rPr>
          <w:rFonts w:eastAsia="仿宋_GB2312"/>
          <w:sz w:val="24"/>
        </w:rPr>
      </w:pPr>
      <w:r>
        <w:rPr>
          <w:rFonts w:eastAsia="仿宋_GB2312"/>
          <w:sz w:val="24"/>
        </w:rPr>
        <w:t>附件：《征求意见汇总处理表》</w:t>
      </w:r>
    </w:p>
    <w:p>
      <w:pPr>
        <w:pStyle w:val="29"/>
        <w:spacing w:line="560" w:lineRule="exact"/>
        <w:ind w:firstLine="1200" w:firstLineChars="500"/>
        <w:jc w:val="right"/>
        <w:rPr>
          <w:rFonts w:ascii="Times New Roman" w:eastAsia="仿宋_GB2312"/>
          <w:kern w:val="2"/>
          <w:sz w:val="24"/>
          <w:szCs w:val="24"/>
        </w:rPr>
      </w:pPr>
    </w:p>
    <w:p>
      <w:pPr>
        <w:pStyle w:val="29"/>
        <w:spacing w:line="560" w:lineRule="exact"/>
        <w:ind w:firstLine="480"/>
        <w:jc w:val="center"/>
        <w:rPr>
          <w:rFonts w:eastAsia="楷体"/>
          <w:b/>
          <w:sz w:val="30"/>
          <w:szCs w:val="30"/>
        </w:rPr>
        <w:sectPr>
          <w:footerReference r:id="rId4" w:type="first"/>
          <w:footerReference r:id="rId3" w:type="default"/>
          <w:pgSz w:w="11906" w:h="16838"/>
          <w:pgMar w:top="1871" w:right="1701" w:bottom="1701" w:left="1701" w:header="851" w:footer="850" w:gutter="0"/>
          <w:pgNumType w:start="1"/>
          <w:cols w:space="720" w:num="1"/>
          <w:docGrid w:type="lines" w:linePitch="312" w:charSpace="0"/>
        </w:sectPr>
      </w:pPr>
    </w:p>
    <w:p>
      <w:pPr>
        <w:widowControl/>
        <w:adjustRightInd w:val="0"/>
        <w:snapToGrid w:val="0"/>
        <w:ind w:firstLine="480" w:firstLineChars="200"/>
        <w:jc w:val="center"/>
        <w:rPr>
          <w:rFonts w:eastAsia="仿宋_GB2312"/>
          <w:kern w:val="0"/>
          <w:sz w:val="24"/>
        </w:rPr>
      </w:pPr>
      <w:r>
        <w:rPr>
          <w:rFonts w:hint="eastAsia" w:eastAsia="仿宋_GB2312"/>
          <w:kern w:val="0"/>
          <w:sz w:val="24"/>
        </w:rPr>
        <w:t>山西省地方标准《</w:t>
      </w:r>
      <w:r>
        <w:rPr>
          <w:rFonts w:hint="eastAsia" w:eastAsia="仿宋_GB2312"/>
          <w:kern w:val="0"/>
          <w:sz w:val="24"/>
          <w:lang w:eastAsia="zh-CN"/>
        </w:rPr>
        <w:t>设施蔬菜固碳生产技术规程 塑料大棚西葫芦</w:t>
      </w:r>
      <w:r>
        <w:rPr>
          <w:rFonts w:hint="eastAsia" w:eastAsia="仿宋_GB2312"/>
          <w:kern w:val="0"/>
          <w:sz w:val="24"/>
        </w:rPr>
        <w:t>》征求意见汇总处理表</w:t>
      </w:r>
    </w:p>
    <w:p>
      <w:pPr>
        <w:widowControl/>
        <w:adjustRightInd w:val="0"/>
        <w:snapToGrid w:val="0"/>
        <w:ind w:firstLine="480" w:firstLineChars="200"/>
        <w:jc w:val="center"/>
        <w:rPr>
          <w:rFonts w:hint="eastAsia" w:eastAsia="仿宋_GB2312"/>
          <w:kern w:val="0"/>
          <w:sz w:val="24"/>
          <w:lang w:val="en-US" w:eastAsia="zh-CN"/>
        </w:rPr>
      </w:pPr>
      <w:r>
        <w:rPr>
          <w:rFonts w:hint="eastAsia" w:eastAsia="仿宋_GB2312"/>
          <w:kern w:val="0"/>
          <w:sz w:val="24"/>
        </w:rPr>
        <w:t>标准名称：</w:t>
      </w:r>
      <w:r>
        <w:rPr>
          <w:rFonts w:hint="eastAsia" w:eastAsia="仿宋_GB2312"/>
          <w:kern w:val="0"/>
          <w:sz w:val="24"/>
          <w:lang w:eastAsia="zh-CN"/>
        </w:rPr>
        <w:t>设施蔬菜固碳生产技术规程 塑料大棚西葫芦</w:t>
      </w:r>
    </w:p>
    <w:p>
      <w:pPr>
        <w:widowControl/>
        <w:adjustRightInd w:val="0"/>
        <w:snapToGrid w:val="0"/>
        <w:ind w:firstLine="480" w:firstLineChars="200"/>
        <w:rPr>
          <w:rFonts w:eastAsia="仿宋_GB2312"/>
          <w:kern w:val="0"/>
          <w:sz w:val="24"/>
        </w:rPr>
      </w:pPr>
      <w:r>
        <w:rPr>
          <w:rFonts w:hint="eastAsia" w:eastAsia="仿宋_GB2312"/>
          <w:kern w:val="0"/>
          <w:sz w:val="24"/>
        </w:rPr>
        <w:t>起草单位：山西农业大学             承办人：</w:t>
      </w:r>
      <w:r>
        <w:rPr>
          <w:rFonts w:hint="eastAsia" w:eastAsia="仿宋_GB2312"/>
          <w:kern w:val="0"/>
          <w:sz w:val="24"/>
          <w:lang w:val="en-US" w:eastAsia="zh-CN"/>
        </w:rPr>
        <w:t>石玉</w:t>
      </w:r>
      <w:r>
        <w:rPr>
          <w:rFonts w:hint="eastAsia" w:eastAsia="仿宋_GB2312"/>
          <w:kern w:val="0"/>
          <w:sz w:val="24"/>
        </w:rPr>
        <w:t xml:space="preserve">   联系电话：18</w:t>
      </w:r>
      <w:r>
        <w:rPr>
          <w:rFonts w:hint="eastAsia" w:eastAsia="仿宋_GB2312"/>
          <w:kern w:val="0"/>
          <w:sz w:val="24"/>
          <w:lang w:val="en-US" w:eastAsia="zh-CN"/>
        </w:rPr>
        <w:t>235419551</w:t>
      </w:r>
      <w:r>
        <w:rPr>
          <w:rFonts w:hint="eastAsia" w:eastAsia="仿宋_GB2312"/>
          <w:kern w:val="0"/>
          <w:sz w:val="24"/>
        </w:rPr>
        <w:t xml:space="preserve">             填写时间：</w:t>
      </w:r>
      <w:r>
        <w:rPr>
          <w:rFonts w:hint="eastAsia" w:eastAsia="仿宋_GB2312"/>
          <w:kern w:val="0"/>
          <w:sz w:val="24"/>
          <w:lang w:val="en-US" w:eastAsia="zh-CN"/>
        </w:rPr>
        <w:t>2024</w:t>
      </w:r>
      <w:r>
        <w:rPr>
          <w:rFonts w:hint="eastAsia" w:eastAsia="仿宋_GB2312"/>
          <w:kern w:val="0"/>
          <w:sz w:val="24"/>
        </w:rPr>
        <w:t>年</w:t>
      </w:r>
      <w:r>
        <w:rPr>
          <w:rFonts w:hint="eastAsia" w:eastAsia="仿宋_GB2312"/>
          <w:kern w:val="0"/>
          <w:sz w:val="24"/>
          <w:lang w:val="en-US" w:eastAsia="zh-CN"/>
        </w:rPr>
        <w:t>2</w:t>
      </w:r>
      <w:r>
        <w:rPr>
          <w:rFonts w:hint="eastAsia" w:eastAsia="仿宋_GB2312"/>
          <w:kern w:val="0"/>
          <w:sz w:val="24"/>
        </w:rPr>
        <w:t>月</w:t>
      </w:r>
      <w:r>
        <w:rPr>
          <w:rFonts w:hint="eastAsia" w:eastAsia="仿宋_GB2312"/>
          <w:kern w:val="0"/>
          <w:sz w:val="24"/>
          <w:lang w:val="en-US" w:eastAsia="zh-CN"/>
        </w:rPr>
        <w:t>12</w:t>
      </w:r>
      <w:r>
        <w:rPr>
          <w:rFonts w:hint="eastAsia" w:eastAsia="仿宋_GB2312"/>
          <w:kern w:val="0"/>
          <w:sz w:val="24"/>
        </w:rPr>
        <w:t>日</w:t>
      </w:r>
    </w:p>
    <w:tbl>
      <w:tblPr>
        <w:tblStyle w:val="13"/>
        <w:tblW w:w="137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1160"/>
        <w:gridCol w:w="3613"/>
        <w:gridCol w:w="4200"/>
        <w:gridCol w:w="2507"/>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908"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序号</w:t>
            </w:r>
          </w:p>
        </w:tc>
        <w:tc>
          <w:tcPr>
            <w:tcW w:w="1160"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章条编号</w:t>
            </w:r>
          </w:p>
        </w:tc>
        <w:tc>
          <w:tcPr>
            <w:tcW w:w="3613"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意见内容</w:t>
            </w:r>
          </w:p>
        </w:tc>
        <w:tc>
          <w:tcPr>
            <w:tcW w:w="4200"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提出单位</w:t>
            </w:r>
          </w:p>
        </w:tc>
        <w:tc>
          <w:tcPr>
            <w:tcW w:w="2507"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处理意见</w:t>
            </w:r>
          </w:p>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（采纳/不采纳）</w:t>
            </w:r>
          </w:p>
        </w:tc>
        <w:tc>
          <w:tcPr>
            <w:tcW w:w="1330"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908"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eastAsia="仿宋"/>
                <w:kern w:val="0"/>
                <w:szCs w:val="21"/>
              </w:rPr>
              <w:t>1</w:t>
            </w:r>
          </w:p>
        </w:tc>
        <w:tc>
          <w:tcPr>
            <w:tcW w:w="1160"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eastAsia="仿宋"/>
                <w:kern w:val="0"/>
                <w:szCs w:val="21"/>
              </w:rPr>
              <w:t>3</w:t>
            </w:r>
          </w:p>
        </w:tc>
        <w:tc>
          <w:tcPr>
            <w:tcW w:w="3613"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建议去掉“</w:t>
            </w:r>
            <w:r>
              <w:rPr>
                <w:rFonts w:hint="eastAsia" w:eastAsia="仿宋"/>
                <w:kern w:val="0"/>
                <w:szCs w:val="21"/>
              </w:rPr>
              <w:t xml:space="preserve">3.2 </w:t>
            </w:r>
            <w:r>
              <w:rPr>
                <w:rFonts w:hint="eastAsia" w:ascii="仿宋" w:hAnsi="仿宋" w:eastAsia="仿宋" w:cs="仿宋"/>
                <w:kern w:val="0"/>
                <w:szCs w:val="21"/>
              </w:rPr>
              <w:t>液体钢瓶释放法”和“</w:t>
            </w:r>
            <w:r>
              <w:rPr>
                <w:rFonts w:hint="eastAsia" w:eastAsia="仿宋"/>
                <w:kern w:val="0"/>
                <w:szCs w:val="21"/>
              </w:rPr>
              <w:t>3.3</w:t>
            </w:r>
            <w:r>
              <w:rPr>
                <w:rFonts w:hint="eastAsia" w:ascii="仿宋" w:hAnsi="仿宋" w:eastAsia="仿宋" w:cs="仿宋"/>
                <w:kern w:val="0"/>
                <w:szCs w:val="21"/>
              </w:rPr>
              <w:t xml:space="preserve"> 商品气肥法”。</w:t>
            </w:r>
          </w:p>
        </w:tc>
        <w:tc>
          <w:tcPr>
            <w:tcW w:w="4200" w:type="dxa"/>
            <w:tcBorders>
              <w:bottom w:val="single" w:color="auto" w:sz="4" w:space="0"/>
            </w:tcBorders>
            <w:vAlign w:val="center"/>
          </w:tcPr>
          <w:p>
            <w:pPr>
              <w:widowControl/>
              <w:adjustRightInd w:val="0"/>
              <w:snapToGrid w:val="0"/>
              <w:spacing w:line="560" w:lineRule="exact"/>
              <w:ind w:firstLine="420" w:firstLineChars="200"/>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山西省蔬菜产业技术体系</w:t>
            </w:r>
          </w:p>
        </w:tc>
        <w:tc>
          <w:tcPr>
            <w:tcW w:w="2507"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采纳该意见，并作修改</w:t>
            </w:r>
          </w:p>
        </w:tc>
        <w:tc>
          <w:tcPr>
            <w:tcW w:w="1330" w:type="dxa"/>
            <w:tcBorders>
              <w:bottom w:val="single" w:color="auto" w:sz="4" w:space="0"/>
            </w:tcBorders>
            <w:vAlign w:val="center"/>
          </w:tcPr>
          <w:p>
            <w:pPr>
              <w:widowControl/>
              <w:adjustRightInd w:val="0"/>
              <w:snapToGrid w:val="0"/>
              <w:spacing w:line="560" w:lineRule="exact"/>
              <w:jc w:val="center"/>
              <w:rPr>
                <w:rFonts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08"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eastAsia="仿宋"/>
                <w:kern w:val="0"/>
                <w:szCs w:val="21"/>
              </w:rPr>
              <w:t>2</w:t>
            </w:r>
          </w:p>
        </w:tc>
        <w:tc>
          <w:tcPr>
            <w:tcW w:w="1160"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eastAsia="仿宋"/>
                <w:kern w:val="0"/>
                <w:szCs w:val="21"/>
              </w:rPr>
              <w:t>4</w:t>
            </w:r>
          </w:p>
        </w:tc>
        <w:tc>
          <w:tcPr>
            <w:tcW w:w="3613"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建议将“</w:t>
            </w:r>
            <w:r>
              <w:rPr>
                <w:rFonts w:hint="eastAsia" w:eastAsia="仿宋"/>
                <w:kern w:val="0"/>
                <w:szCs w:val="21"/>
              </w:rPr>
              <w:t xml:space="preserve">4 </w:t>
            </w:r>
            <w:r>
              <w:rPr>
                <w:rFonts w:hint="eastAsia" w:ascii="仿宋" w:hAnsi="仿宋" w:eastAsia="仿宋" w:cs="仿宋"/>
                <w:kern w:val="0"/>
                <w:szCs w:val="21"/>
              </w:rPr>
              <w:t>棚室环境”改为“</w:t>
            </w:r>
            <w:r>
              <w:rPr>
                <w:rFonts w:hint="eastAsia" w:eastAsia="仿宋"/>
                <w:kern w:val="0"/>
                <w:szCs w:val="21"/>
              </w:rPr>
              <w:t>4</w:t>
            </w:r>
            <w:r>
              <w:rPr>
                <w:rFonts w:hint="eastAsia" w:ascii="仿宋" w:hAnsi="仿宋" w:eastAsia="仿宋" w:cs="仿宋"/>
                <w:kern w:val="0"/>
                <w:szCs w:val="21"/>
              </w:rPr>
              <w:t xml:space="preserve"> 大棚结构与性能”。</w:t>
            </w:r>
          </w:p>
        </w:tc>
        <w:tc>
          <w:tcPr>
            <w:tcW w:w="4200" w:type="dxa"/>
            <w:tcBorders>
              <w:bottom w:val="single" w:color="auto" w:sz="4" w:space="0"/>
            </w:tcBorders>
            <w:vAlign w:val="center"/>
          </w:tcPr>
          <w:p>
            <w:pPr>
              <w:widowControl/>
              <w:adjustRightInd w:val="0"/>
              <w:snapToGrid w:val="0"/>
              <w:spacing w:line="560" w:lineRule="exact"/>
              <w:ind w:firstLine="420" w:firstLineChars="200"/>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山西省蔬菜产业技术体系</w:t>
            </w:r>
          </w:p>
        </w:tc>
        <w:tc>
          <w:tcPr>
            <w:tcW w:w="2507" w:type="dxa"/>
            <w:tcBorders>
              <w:bottom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采纳该意见，并作修改</w:t>
            </w:r>
          </w:p>
        </w:tc>
        <w:tc>
          <w:tcPr>
            <w:tcW w:w="1330" w:type="dxa"/>
            <w:tcBorders>
              <w:bottom w:val="single" w:color="auto" w:sz="4" w:space="0"/>
            </w:tcBorders>
            <w:vAlign w:val="center"/>
          </w:tcPr>
          <w:p>
            <w:pPr>
              <w:widowControl/>
              <w:adjustRightInd w:val="0"/>
              <w:snapToGrid w:val="0"/>
              <w:spacing w:line="560" w:lineRule="exact"/>
              <w:jc w:val="center"/>
              <w:rPr>
                <w:rFonts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08" w:type="dxa"/>
            <w:tcBorders>
              <w:top w:val="single" w:color="auto" w:sz="4" w:space="0"/>
            </w:tcBorders>
            <w:vAlign w:val="center"/>
          </w:tcPr>
          <w:p>
            <w:pPr>
              <w:widowControl/>
              <w:adjustRightInd w:val="0"/>
              <w:snapToGrid w:val="0"/>
              <w:spacing w:line="400" w:lineRule="exact"/>
              <w:jc w:val="center"/>
              <w:rPr>
                <w:rFonts w:eastAsia="仿宋"/>
                <w:kern w:val="0"/>
                <w:szCs w:val="21"/>
              </w:rPr>
            </w:pPr>
            <w:r>
              <w:rPr>
                <w:rFonts w:hint="eastAsia" w:eastAsia="仿宋"/>
                <w:kern w:val="0"/>
                <w:szCs w:val="21"/>
              </w:rPr>
              <w:t>3</w:t>
            </w:r>
          </w:p>
        </w:tc>
        <w:tc>
          <w:tcPr>
            <w:tcW w:w="1160" w:type="dxa"/>
            <w:tcBorders>
              <w:top w:val="single" w:color="auto" w:sz="4" w:space="0"/>
            </w:tcBorders>
            <w:vAlign w:val="center"/>
          </w:tcPr>
          <w:p>
            <w:pPr>
              <w:widowControl/>
              <w:adjustRightInd w:val="0"/>
              <w:snapToGrid w:val="0"/>
              <w:spacing w:line="400" w:lineRule="exact"/>
              <w:jc w:val="center"/>
              <w:rPr>
                <w:rFonts w:eastAsia="仿宋"/>
                <w:kern w:val="0"/>
                <w:szCs w:val="21"/>
              </w:rPr>
            </w:pPr>
            <w:r>
              <w:rPr>
                <w:rFonts w:hint="eastAsia" w:eastAsia="仿宋"/>
                <w:kern w:val="0"/>
                <w:szCs w:val="21"/>
              </w:rPr>
              <w:t>6</w:t>
            </w:r>
          </w:p>
        </w:tc>
        <w:tc>
          <w:tcPr>
            <w:tcW w:w="3613" w:type="dxa"/>
            <w:tcBorders>
              <w:top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建议“</w:t>
            </w:r>
            <w:r>
              <w:rPr>
                <w:rFonts w:hint="eastAsia" w:eastAsia="仿宋"/>
                <w:kern w:val="0"/>
                <w:szCs w:val="21"/>
              </w:rPr>
              <w:t>6.1</w:t>
            </w:r>
            <w:r>
              <w:rPr>
                <w:rFonts w:hint="eastAsia" w:ascii="仿宋" w:hAnsi="仿宋" w:eastAsia="仿宋" w:cs="仿宋"/>
                <w:kern w:val="0"/>
                <w:szCs w:val="21"/>
              </w:rPr>
              <w:t xml:space="preserve"> 品种选择”分茬口介绍品种的具体要求。</w:t>
            </w:r>
          </w:p>
        </w:tc>
        <w:tc>
          <w:tcPr>
            <w:tcW w:w="4200" w:type="dxa"/>
            <w:tcBorders>
              <w:top w:val="single" w:color="auto" w:sz="4" w:space="0"/>
            </w:tcBorders>
            <w:vAlign w:val="center"/>
          </w:tcPr>
          <w:p>
            <w:pPr>
              <w:widowControl/>
              <w:adjustRightInd w:val="0"/>
              <w:snapToGrid w:val="0"/>
              <w:spacing w:line="560" w:lineRule="exact"/>
              <w:ind w:firstLine="420" w:firstLineChars="200"/>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山西省蔬菜产业技术体系</w:t>
            </w:r>
          </w:p>
        </w:tc>
        <w:tc>
          <w:tcPr>
            <w:tcW w:w="2507" w:type="dxa"/>
            <w:tcBorders>
              <w:top w:val="single" w:color="auto" w:sz="4" w:space="0"/>
            </w:tcBorders>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采纳该意见，并作修改</w:t>
            </w:r>
          </w:p>
        </w:tc>
        <w:tc>
          <w:tcPr>
            <w:tcW w:w="1330" w:type="dxa"/>
            <w:tcBorders>
              <w:top w:val="single" w:color="auto" w:sz="4" w:space="0"/>
            </w:tcBorders>
            <w:vAlign w:val="center"/>
          </w:tcPr>
          <w:p>
            <w:pPr>
              <w:widowControl/>
              <w:adjustRightInd w:val="0"/>
              <w:snapToGrid w:val="0"/>
              <w:spacing w:line="560" w:lineRule="exact"/>
              <w:jc w:val="center"/>
              <w:rPr>
                <w:rFonts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08" w:type="dxa"/>
            <w:vAlign w:val="center"/>
          </w:tcPr>
          <w:p>
            <w:pPr>
              <w:widowControl/>
              <w:adjustRightInd w:val="0"/>
              <w:snapToGrid w:val="0"/>
              <w:spacing w:line="400" w:lineRule="exact"/>
              <w:jc w:val="center"/>
              <w:rPr>
                <w:rFonts w:eastAsia="仿宋"/>
                <w:kern w:val="0"/>
                <w:szCs w:val="21"/>
              </w:rPr>
            </w:pPr>
            <w:r>
              <w:rPr>
                <w:rFonts w:hint="eastAsia" w:eastAsia="仿宋"/>
                <w:kern w:val="0"/>
                <w:szCs w:val="21"/>
              </w:rPr>
              <w:t>4</w:t>
            </w:r>
          </w:p>
        </w:tc>
        <w:tc>
          <w:tcPr>
            <w:tcW w:w="1160" w:type="dxa"/>
            <w:vAlign w:val="center"/>
          </w:tcPr>
          <w:p>
            <w:pPr>
              <w:widowControl/>
              <w:adjustRightInd w:val="0"/>
              <w:snapToGrid w:val="0"/>
              <w:spacing w:line="400" w:lineRule="exact"/>
              <w:jc w:val="center"/>
              <w:rPr>
                <w:rFonts w:eastAsia="仿宋"/>
                <w:kern w:val="0"/>
                <w:szCs w:val="21"/>
              </w:rPr>
            </w:pPr>
            <w:r>
              <w:rPr>
                <w:rFonts w:hint="eastAsia" w:eastAsia="仿宋"/>
                <w:kern w:val="0"/>
                <w:szCs w:val="21"/>
              </w:rPr>
              <w:t>9</w:t>
            </w:r>
          </w:p>
        </w:tc>
        <w:tc>
          <w:tcPr>
            <w:tcW w:w="3613" w:type="dxa"/>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建议将“</w:t>
            </w:r>
            <w:r>
              <w:rPr>
                <w:rFonts w:hint="eastAsia" w:eastAsia="仿宋"/>
                <w:kern w:val="0"/>
                <w:szCs w:val="21"/>
              </w:rPr>
              <w:t>9.5</w:t>
            </w:r>
            <w:r>
              <w:rPr>
                <w:rFonts w:hint="eastAsia" w:ascii="仿宋" w:hAnsi="仿宋" w:eastAsia="仿宋" w:cs="仿宋"/>
                <w:kern w:val="0"/>
                <w:szCs w:val="21"/>
              </w:rPr>
              <w:t xml:space="preserve"> 植株调整”和“</w:t>
            </w:r>
            <w:r>
              <w:rPr>
                <w:rFonts w:hint="eastAsia" w:eastAsia="仿宋"/>
                <w:kern w:val="0"/>
                <w:szCs w:val="21"/>
              </w:rPr>
              <w:t>9.6</w:t>
            </w:r>
            <w:r>
              <w:rPr>
                <w:rFonts w:hint="eastAsia" w:ascii="仿宋" w:hAnsi="仿宋" w:eastAsia="仿宋" w:cs="仿宋"/>
                <w:kern w:val="0"/>
                <w:szCs w:val="21"/>
              </w:rPr>
              <w:t xml:space="preserve"> 人工授粉”的内容整合为一个大标题。</w:t>
            </w:r>
          </w:p>
        </w:tc>
        <w:tc>
          <w:tcPr>
            <w:tcW w:w="4200" w:type="dxa"/>
            <w:vAlign w:val="center"/>
          </w:tcPr>
          <w:p>
            <w:pPr>
              <w:widowControl/>
              <w:adjustRightInd w:val="0"/>
              <w:snapToGrid w:val="0"/>
              <w:spacing w:line="560" w:lineRule="exact"/>
              <w:ind w:firstLine="420" w:firstLineChars="200"/>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山西省蔬菜产业技术体系</w:t>
            </w:r>
          </w:p>
        </w:tc>
        <w:tc>
          <w:tcPr>
            <w:tcW w:w="2507" w:type="dxa"/>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采纳该意见，并作修改</w:t>
            </w:r>
          </w:p>
        </w:tc>
        <w:tc>
          <w:tcPr>
            <w:tcW w:w="1330" w:type="dxa"/>
            <w:vAlign w:val="center"/>
          </w:tcPr>
          <w:p>
            <w:pPr>
              <w:widowControl/>
              <w:adjustRightInd w:val="0"/>
              <w:snapToGrid w:val="0"/>
              <w:spacing w:line="560" w:lineRule="exact"/>
              <w:jc w:val="center"/>
              <w:rPr>
                <w:rFonts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08" w:type="dxa"/>
            <w:vAlign w:val="center"/>
          </w:tcPr>
          <w:p>
            <w:pPr>
              <w:widowControl/>
              <w:adjustRightInd w:val="0"/>
              <w:snapToGrid w:val="0"/>
              <w:spacing w:line="400" w:lineRule="exact"/>
              <w:jc w:val="center"/>
              <w:rPr>
                <w:rFonts w:eastAsia="仿宋"/>
                <w:kern w:val="0"/>
                <w:szCs w:val="21"/>
              </w:rPr>
            </w:pPr>
            <w:r>
              <w:rPr>
                <w:rFonts w:hint="eastAsia" w:eastAsia="仿宋"/>
                <w:kern w:val="0"/>
                <w:szCs w:val="21"/>
              </w:rPr>
              <w:t>5</w:t>
            </w:r>
          </w:p>
        </w:tc>
        <w:tc>
          <w:tcPr>
            <w:tcW w:w="1160" w:type="dxa"/>
            <w:vAlign w:val="center"/>
          </w:tcPr>
          <w:p>
            <w:pPr>
              <w:widowControl/>
              <w:adjustRightInd w:val="0"/>
              <w:snapToGrid w:val="0"/>
              <w:spacing w:line="400" w:lineRule="exact"/>
              <w:jc w:val="center"/>
              <w:rPr>
                <w:rFonts w:eastAsia="仿宋"/>
                <w:kern w:val="0"/>
                <w:szCs w:val="21"/>
              </w:rPr>
            </w:pPr>
            <w:r>
              <w:rPr>
                <w:rFonts w:hint="eastAsia" w:eastAsia="仿宋"/>
                <w:kern w:val="0"/>
                <w:szCs w:val="21"/>
              </w:rPr>
              <w:t>10</w:t>
            </w:r>
          </w:p>
        </w:tc>
        <w:tc>
          <w:tcPr>
            <w:tcW w:w="3613" w:type="dxa"/>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建议将“</w:t>
            </w:r>
            <w:r>
              <w:rPr>
                <w:rFonts w:hint="eastAsia" w:eastAsia="仿宋"/>
                <w:kern w:val="0"/>
                <w:szCs w:val="21"/>
              </w:rPr>
              <w:t>10.2</w:t>
            </w:r>
            <w:r>
              <w:rPr>
                <w:rFonts w:hint="eastAsia" w:ascii="仿宋" w:hAnsi="仿宋" w:eastAsia="仿宋" w:cs="仿宋"/>
                <w:kern w:val="0"/>
                <w:szCs w:val="21"/>
              </w:rPr>
              <w:t xml:space="preserve"> 施肥方法和</w:t>
            </w:r>
            <w:r>
              <w:rPr>
                <w:rFonts w:hint="eastAsia" w:eastAsia="仿宋"/>
                <w:kern w:val="0"/>
                <w:szCs w:val="21"/>
              </w:rPr>
              <w:t>10.3</w:t>
            </w:r>
            <w:r>
              <w:rPr>
                <w:rFonts w:hint="eastAsia" w:ascii="仿宋" w:hAnsi="仿宋" w:eastAsia="仿宋" w:cs="仿宋"/>
                <w:kern w:val="0"/>
                <w:szCs w:val="21"/>
              </w:rPr>
              <w:t xml:space="preserve"> 施肥时间”的顺序进行调整。</w:t>
            </w:r>
          </w:p>
        </w:tc>
        <w:tc>
          <w:tcPr>
            <w:tcW w:w="4200" w:type="dxa"/>
            <w:vAlign w:val="center"/>
          </w:tcPr>
          <w:p>
            <w:pPr>
              <w:widowControl/>
              <w:adjustRightInd w:val="0"/>
              <w:snapToGrid w:val="0"/>
              <w:spacing w:line="560" w:lineRule="exact"/>
              <w:ind w:firstLine="420" w:firstLineChars="200"/>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山西省检验检测中心</w:t>
            </w:r>
          </w:p>
        </w:tc>
        <w:tc>
          <w:tcPr>
            <w:tcW w:w="2507" w:type="dxa"/>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采纳该意见，并作修改</w:t>
            </w:r>
          </w:p>
        </w:tc>
        <w:tc>
          <w:tcPr>
            <w:tcW w:w="1330" w:type="dxa"/>
            <w:vAlign w:val="center"/>
          </w:tcPr>
          <w:p>
            <w:pPr>
              <w:widowControl/>
              <w:adjustRightInd w:val="0"/>
              <w:snapToGrid w:val="0"/>
              <w:spacing w:line="560" w:lineRule="exact"/>
              <w:jc w:val="center"/>
              <w:rPr>
                <w:rFonts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08" w:type="dxa"/>
            <w:vAlign w:val="center"/>
          </w:tcPr>
          <w:p>
            <w:pPr>
              <w:widowControl/>
              <w:adjustRightInd w:val="0"/>
              <w:snapToGrid w:val="0"/>
              <w:spacing w:line="400" w:lineRule="exact"/>
              <w:jc w:val="center"/>
              <w:rPr>
                <w:rFonts w:eastAsia="仿宋"/>
                <w:kern w:val="0"/>
                <w:szCs w:val="21"/>
              </w:rPr>
            </w:pPr>
            <w:r>
              <w:rPr>
                <w:rFonts w:hint="eastAsia" w:eastAsia="仿宋"/>
                <w:kern w:val="0"/>
                <w:szCs w:val="21"/>
              </w:rPr>
              <w:t>6</w:t>
            </w:r>
          </w:p>
        </w:tc>
        <w:tc>
          <w:tcPr>
            <w:tcW w:w="1160" w:type="dxa"/>
            <w:vAlign w:val="center"/>
          </w:tcPr>
          <w:p>
            <w:pPr>
              <w:widowControl/>
              <w:adjustRightInd w:val="0"/>
              <w:snapToGrid w:val="0"/>
              <w:spacing w:line="400" w:lineRule="exact"/>
              <w:jc w:val="center"/>
              <w:rPr>
                <w:rFonts w:eastAsia="仿宋"/>
                <w:kern w:val="0"/>
                <w:szCs w:val="21"/>
              </w:rPr>
            </w:pPr>
            <w:r>
              <w:rPr>
                <w:rFonts w:hint="eastAsia" w:eastAsia="仿宋"/>
                <w:kern w:val="0"/>
                <w:szCs w:val="21"/>
              </w:rPr>
              <w:t>10</w:t>
            </w:r>
          </w:p>
        </w:tc>
        <w:tc>
          <w:tcPr>
            <w:tcW w:w="3613" w:type="dxa"/>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建议将“施肥方法”的内容进行补充完善。</w:t>
            </w:r>
          </w:p>
        </w:tc>
        <w:tc>
          <w:tcPr>
            <w:tcW w:w="4200" w:type="dxa"/>
            <w:vAlign w:val="center"/>
          </w:tcPr>
          <w:p>
            <w:pPr>
              <w:widowControl/>
              <w:adjustRightInd w:val="0"/>
              <w:snapToGrid w:val="0"/>
              <w:spacing w:line="560" w:lineRule="exact"/>
              <w:ind w:firstLine="420" w:firstLineChars="200"/>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山西省检验检测中心</w:t>
            </w:r>
          </w:p>
        </w:tc>
        <w:tc>
          <w:tcPr>
            <w:tcW w:w="2507" w:type="dxa"/>
            <w:vAlign w:val="center"/>
          </w:tcPr>
          <w:p>
            <w:pPr>
              <w:widowControl/>
              <w:adjustRightInd w:val="0"/>
              <w:snapToGrid w:val="0"/>
              <w:spacing w:line="400" w:lineRule="exact"/>
              <w:jc w:val="center"/>
              <w:rPr>
                <w:rFonts w:ascii="仿宋" w:hAnsi="仿宋" w:eastAsia="仿宋" w:cs="仿宋"/>
                <w:kern w:val="0"/>
                <w:szCs w:val="21"/>
              </w:rPr>
            </w:pPr>
            <w:r>
              <w:rPr>
                <w:rFonts w:hint="eastAsia" w:ascii="仿宋" w:hAnsi="仿宋" w:eastAsia="仿宋" w:cs="仿宋"/>
                <w:kern w:val="0"/>
                <w:szCs w:val="21"/>
              </w:rPr>
              <w:t>采纳该意见，并作修改</w:t>
            </w:r>
          </w:p>
        </w:tc>
        <w:tc>
          <w:tcPr>
            <w:tcW w:w="1330" w:type="dxa"/>
            <w:vAlign w:val="center"/>
          </w:tcPr>
          <w:p>
            <w:pPr>
              <w:widowControl/>
              <w:adjustRightInd w:val="0"/>
              <w:snapToGrid w:val="0"/>
              <w:spacing w:line="560" w:lineRule="exact"/>
              <w:jc w:val="center"/>
              <w:rPr>
                <w:rFonts w:ascii="仿宋" w:hAnsi="仿宋" w:eastAsia="仿宋" w:cs="仿宋"/>
                <w:kern w:val="0"/>
                <w:szCs w:val="21"/>
              </w:rPr>
            </w:pP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3718" w:type="dxa"/>
            <w:gridSpan w:val="6"/>
            <w:tcBorders>
              <w:top w:val="single" w:color="auto" w:sz="4" w:space="0"/>
              <w:left w:val="single" w:color="auto" w:sz="4" w:space="0"/>
              <w:bottom w:val="single" w:color="auto" w:sz="4" w:space="0"/>
              <w:right w:val="single" w:color="auto" w:sz="4" w:space="0"/>
            </w:tcBorders>
            <w:vAlign w:val="center"/>
          </w:tcPr>
          <w:p>
            <w:pPr>
              <w:rPr>
                <w:rFonts w:eastAsia="仿宋_GB2312"/>
                <w:kern w:val="0"/>
                <w:szCs w:val="21"/>
              </w:rPr>
            </w:pPr>
            <w:r>
              <w:rPr>
                <w:rFonts w:hint="eastAsia" w:eastAsia="仿宋_GB2312"/>
                <w:kern w:val="0"/>
                <w:szCs w:val="21"/>
              </w:rPr>
              <w:t xml:space="preserve">说明：1、针对明确回复无意见的单位，请在“意见内容”中注明无意见，在“提出单位”中列出无意见单位的名称。 </w:t>
            </w:r>
          </w:p>
          <w:p>
            <w:pPr>
              <w:ind w:firstLine="630" w:firstLineChars="300"/>
              <w:rPr>
                <w:rFonts w:ascii="宋体" w:hAnsi="宋体"/>
                <w:szCs w:val="21"/>
              </w:rPr>
            </w:pPr>
            <w:r>
              <w:rPr>
                <w:rFonts w:hint="eastAsia" w:eastAsia="仿宋_GB2312"/>
                <w:kern w:val="0"/>
                <w:szCs w:val="21"/>
              </w:rPr>
              <w:t>2、发送征求意见稿单位数6个；回到征求意见稿回函的单位数6个；收到征求意见稿并提出意见的单位数6个；没有回函的单位数0个；共收到6条意见，采纳6条意见，部分采纳0条意见，未采纳0条意见。</w:t>
            </w:r>
          </w:p>
        </w:tc>
      </w:tr>
    </w:tbl>
    <w:p>
      <w:pPr>
        <w:rPr>
          <w:rFonts w:ascii="仿宋_GB2312" w:hAnsi="宋体" w:eastAsia="仿宋_GB2312"/>
          <w:color w:val="0000FF"/>
          <w:sz w:val="28"/>
          <w:szCs w:val="28"/>
        </w:rPr>
      </w:pPr>
    </w:p>
    <w:sectPr>
      <w:footerReference r:id="rId6" w:type="first"/>
      <w:footerReference r:id="rId5" w:type="default"/>
      <w:pgSz w:w="16838" w:h="11906" w:orient="landscape"/>
      <w:pgMar w:top="1803" w:right="1440" w:bottom="1803" w:left="1440"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DejaVu Math TeX Gyre"/>
    <w:panose1 w:val="00000400000000000000"/>
    <w:charset w:val="00"/>
    <w:family w:val="roman"/>
    <w:pitch w:val="default"/>
    <w:sig w:usb0="00000000" w:usb1="00000000" w:usb2="00000000" w:usb3="00000000" w:csb0="0000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7</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1</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9"/>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48A1302A"/>
    <w:multiLevelType w:val="singleLevel"/>
    <w:tmpl w:val="48A1302A"/>
    <w:lvl w:ilvl="0" w:tentative="0">
      <w:start w:val="4"/>
      <w:numFmt w:val="decimal"/>
      <w:suff w:val="nothing"/>
      <w:lvlText w:val="%1、"/>
      <w:lvlJc w:val="left"/>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TrackMoves/>
  <w:documentProtection w:enforcement="0"/>
  <w:defaultTabStop w:val="420"/>
  <w:drawingGridHorizontalSpacing w:val="105"/>
  <w:drawingGridVerticalSpacing w:val="159"/>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3ODY3YzVkNzU2ZDdiOWViYTkyYzg4MDY3N2VlM2I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16839"/>
    <w:rsid w:val="00532EC9"/>
    <w:rsid w:val="0053409C"/>
    <w:rsid w:val="0053513E"/>
    <w:rsid w:val="005354BE"/>
    <w:rsid w:val="00535FC3"/>
    <w:rsid w:val="00536728"/>
    <w:rsid w:val="00544119"/>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5184"/>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876D7"/>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4B49"/>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0FA3"/>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0ECB"/>
    <w:rsid w:val="00E71D53"/>
    <w:rsid w:val="00E722BD"/>
    <w:rsid w:val="00E830F6"/>
    <w:rsid w:val="00E87347"/>
    <w:rsid w:val="00E8777C"/>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1600318"/>
    <w:rsid w:val="01CE776C"/>
    <w:rsid w:val="02640B26"/>
    <w:rsid w:val="0297204E"/>
    <w:rsid w:val="029D38F8"/>
    <w:rsid w:val="0370669E"/>
    <w:rsid w:val="04810215"/>
    <w:rsid w:val="04AB3B8E"/>
    <w:rsid w:val="051E0804"/>
    <w:rsid w:val="05C139DC"/>
    <w:rsid w:val="062274C5"/>
    <w:rsid w:val="06CE625A"/>
    <w:rsid w:val="06FB7EA8"/>
    <w:rsid w:val="07346D3F"/>
    <w:rsid w:val="07445E54"/>
    <w:rsid w:val="08351E28"/>
    <w:rsid w:val="099E0166"/>
    <w:rsid w:val="0BB030C2"/>
    <w:rsid w:val="0CE73BD2"/>
    <w:rsid w:val="0FBC1346"/>
    <w:rsid w:val="1034260A"/>
    <w:rsid w:val="10972147"/>
    <w:rsid w:val="10A006DD"/>
    <w:rsid w:val="11814C08"/>
    <w:rsid w:val="12D92BD0"/>
    <w:rsid w:val="12ED2BD4"/>
    <w:rsid w:val="12FF66CF"/>
    <w:rsid w:val="13B31EA9"/>
    <w:rsid w:val="13F76DF0"/>
    <w:rsid w:val="15D8055B"/>
    <w:rsid w:val="178C5AA1"/>
    <w:rsid w:val="17E313BC"/>
    <w:rsid w:val="188654FC"/>
    <w:rsid w:val="18EE3018"/>
    <w:rsid w:val="192C5D42"/>
    <w:rsid w:val="19687E48"/>
    <w:rsid w:val="19F85670"/>
    <w:rsid w:val="1A1816AF"/>
    <w:rsid w:val="1C3C3AD1"/>
    <w:rsid w:val="1C562422"/>
    <w:rsid w:val="1C5823F6"/>
    <w:rsid w:val="1D6F196D"/>
    <w:rsid w:val="1D8A2A83"/>
    <w:rsid w:val="1EAA3E92"/>
    <w:rsid w:val="1EE92A08"/>
    <w:rsid w:val="1F372797"/>
    <w:rsid w:val="1FAD4807"/>
    <w:rsid w:val="217A7958"/>
    <w:rsid w:val="21845B56"/>
    <w:rsid w:val="2185154A"/>
    <w:rsid w:val="22AC349C"/>
    <w:rsid w:val="22BC2B77"/>
    <w:rsid w:val="234C23C0"/>
    <w:rsid w:val="2351194D"/>
    <w:rsid w:val="24371B65"/>
    <w:rsid w:val="24521C3C"/>
    <w:rsid w:val="24963975"/>
    <w:rsid w:val="24DF0C7B"/>
    <w:rsid w:val="26090966"/>
    <w:rsid w:val="26451B58"/>
    <w:rsid w:val="281F36AB"/>
    <w:rsid w:val="295F4405"/>
    <w:rsid w:val="29FB2450"/>
    <w:rsid w:val="2A2C4C78"/>
    <w:rsid w:val="2A2C6C70"/>
    <w:rsid w:val="2A517423"/>
    <w:rsid w:val="2B340F9B"/>
    <w:rsid w:val="2E222864"/>
    <w:rsid w:val="2E3D2FA4"/>
    <w:rsid w:val="2ED846BE"/>
    <w:rsid w:val="2FFF3716"/>
    <w:rsid w:val="30711FD2"/>
    <w:rsid w:val="3095731D"/>
    <w:rsid w:val="31533BDF"/>
    <w:rsid w:val="315513C0"/>
    <w:rsid w:val="315F16D9"/>
    <w:rsid w:val="3272632B"/>
    <w:rsid w:val="32DF0D23"/>
    <w:rsid w:val="33770F5C"/>
    <w:rsid w:val="35732A82"/>
    <w:rsid w:val="35EB2255"/>
    <w:rsid w:val="367A3449"/>
    <w:rsid w:val="37FD0066"/>
    <w:rsid w:val="38871C41"/>
    <w:rsid w:val="39070FD4"/>
    <w:rsid w:val="3942025E"/>
    <w:rsid w:val="399A3BF6"/>
    <w:rsid w:val="3A4F4F44"/>
    <w:rsid w:val="3AC46113"/>
    <w:rsid w:val="3D25D500"/>
    <w:rsid w:val="3DBB413B"/>
    <w:rsid w:val="3EEF98DD"/>
    <w:rsid w:val="3F162C20"/>
    <w:rsid w:val="3F9FD22F"/>
    <w:rsid w:val="412E258A"/>
    <w:rsid w:val="42A272A8"/>
    <w:rsid w:val="44B21150"/>
    <w:rsid w:val="450F3A27"/>
    <w:rsid w:val="46B04A59"/>
    <w:rsid w:val="470749E1"/>
    <w:rsid w:val="48901F03"/>
    <w:rsid w:val="48D153A1"/>
    <w:rsid w:val="48F6071D"/>
    <w:rsid w:val="498A6249"/>
    <w:rsid w:val="4A990D1A"/>
    <w:rsid w:val="4D270204"/>
    <w:rsid w:val="4D660768"/>
    <w:rsid w:val="4DBC43F3"/>
    <w:rsid w:val="4EFE33E0"/>
    <w:rsid w:val="4F1025C5"/>
    <w:rsid w:val="4F7B247E"/>
    <w:rsid w:val="4F9A44F8"/>
    <w:rsid w:val="51295B34"/>
    <w:rsid w:val="512C2F2E"/>
    <w:rsid w:val="52320DEF"/>
    <w:rsid w:val="52574BB9"/>
    <w:rsid w:val="52B21D1C"/>
    <w:rsid w:val="52DE08E5"/>
    <w:rsid w:val="53136E4C"/>
    <w:rsid w:val="54324CFF"/>
    <w:rsid w:val="54410E80"/>
    <w:rsid w:val="546704F0"/>
    <w:rsid w:val="548117E3"/>
    <w:rsid w:val="550C1AC2"/>
    <w:rsid w:val="55880534"/>
    <w:rsid w:val="56040616"/>
    <w:rsid w:val="57D94567"/>
    <w:rsid w:val="58206E19"/>
    <w:rsid w:val="594900CB"/>
    <w:rsid w:val="597B628B"/>
    <w:rsid w:val="59D143DE"/>
    <w:rsid w:val="5A1B2858"/>
    <w:rsid w:val="5A3D43FE"/>
    <w:rsid w:val="5A461916"/>
    <w:rsid w:val="5AF63C2C"/>
    <w:rsid w:val="5B441028"/>
    <w:rsid w:val="5BE4771A"/>
    <w:rsid w:val="5BF84A80"/>
    <w:rsid w:val="5C716B6F"/>
    <w:rsid w:val="5CFF1606"/>
    <w:rsid w:val="5DD7264E"/>
    <w:rsid w:val="5DF32F8B"/>
    <w:rsid w:val="5DFFCE9C"/>
    <w:rsid w:val="5E982018"/>
    <w:rsid w:val="5EA0665D"/>
    <w:rsid w:val="5EB11A7B"/>
    <w:rsid w:val="5ECC6D69"/>
    <w:rsid w:val="5EE975A9"/>
    <w:rsid w:val="5FB81DCD"/>
    <w:rsid w:val="614B0BEF"/>
    <w:rsid w:val="619B42AF"/>
    <w:rsid w:val="6231070C"/>
    <w:rsid w:val="62450161"/>
    <w:rsid w:val="62EB07C1"/>
    <w:rsid w:val="63BD8BA4"/>
    <w:rsid w:val="643E408E"/>
    <w:rsid w:val="65CA4159"/>
    <w:rsid w:val="65F242EE"/>
    <w:rsid w:val="65F26531"/>
    <w:rsid w:val="66DC51A6"/>
    <w:rsid w:val="67003D1D"/>
    <w:rsid w:val="6767579A"/>
    <w:rsid w:val="67880FE7"/>
    <w:rsid w:val="67A55390"/>
    <w:rsid w:val="67D143D7"/>
    <w:rsid w:val="67D67629"/>
    <w:rsid w:val="67F02AB0"/>
    <w:rsid w:val="680B501F"/>
    <w:rsid w:val="68534DEC"/>
    <w:rsid w:val="688C3DBB"/>
    <w:rsid w:val="690630DD"/>
    <w:rsid w:val="69852295"/>
    <w:rsid w:val="6B9D550E"/>
    <w:rsid w:val="6BB31FF6"/>
    <w:rsid w:val="6BCB7ABB"/>
    <w:rsid w:val="6BDA5686"/>
    <w:rsid w:val="6BEF0C80"/>
    <w:rsid w:val="6BFEE3C0"/>
    <w:rsid w:val="6BFF0146"/>
    <w:rsid w:val="6D3E606B"/>
    <w:rsid w:val="6DA22A9E"/>
    <w:rsid w:val="6DB945C0"/>
    <w:rsid w:val="6DD16EDF"/>
    <w:rsid w:val="6EFD90F7"/>
    <w:rsid w:val="6F525DFE"/>
    <w:rsid w:val="70067C61"/>
    <w:rsid w:val="700E61C9"/>
    <w:rsid w:val="704F058F"/>
    <w:rsid w:val="7065127C"/>
    <w:rsid w:val="72B24CAD"/>
    <w:rsid w:val="72C2329A"/>
    <w:rsid w:val="72DE18B7"/>
    <w:rsid w:val="72E90D3C"/>
    <w:rsid w:val="72FE4A75"/>
    <w:rsid w:val="7329008F"/>
    <w:rsid w:val="73D30027"/>
    <w:rsid w:val="74472700"/>
    <w:rsid w:val="750F475B"/>
    <w:rsid w:val="756F47E4"/>
    <w:rsid w:val="75F47B23"/>
    <w:rsid w:val="764662CA"/>
    <w:rsid w:val="7715608F"/>
    <w:rsid w:val="77A511E3"/>
    <w:rsid w:val="77C6AB6B"/>
    <w:rsid w:val="77DF1E38"/>
    <w:rsid w:val="77E617D9"/>
    <w:rsid w:val="77FF4F98"/>
    <w:rsid w:val="7803603C"/>
    <w:rsid w:val="781E098B"/>
    <w:rsid w:val="79FF0142"/>
    <w:rsid w:val="7AB7745D"/>
    <w:rsid w:val="7BB843EC"/>
    <w:rsid w:val="7BC13CD3"/>
    <w:rsid w:val="7BFB120F"/>
    <w:rsid w:val="7E1A3F8B"/>
    <w:rsid w:val="7E957AB5"/>
    <w:rsid w:val="7F023512"/>
    <w:rsid w:val="7F7D3EC6"/>
    <w:rsid w:val="7F7F1836"/>
    <w:rsid w:val="7FC46219"/>
    <w:rsid w:val="7FD352FF"/>
    <w:rsid w:val="7FDE9EE2"/>
    <w:rsid w:val="93EEA786"/>
    <w:rsid w:val="9CFB7DEA"/>
    <w:rsid w:val="ADAF1DB9"/>
    <w:rsid w:val="B5FF0B5B"/>
    <w:rsid w:val="B76B45F2"/>
    <w:rsid w:val="D57F4C87"/>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18"/>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99"/>
    <w:pPr>
      <w:suppressLineNumbers/>
      <w:suppressAutoHyphens/>
      <w:spacing w:before="120" w:after="120"/>
    </w:pPr>
    <w:rPr>
      <w:rFonts w:cs="Mangal"/>
      <w:i/>
      <w:iCs/>
      <w:kern w:val="21"/>
      <w:sz w:val="24"/>
      <w:lang w:eastAsia="ar-SA"/>
    </w:rPr>
  </w:style>
  <w:style w:type="paragraph" w:styleId="5">
    <w:name w:val="annotation text"/>
    <w:basedOn w:val="1"/>
    <w:semiHidden/>
    <w:unhideWhenUsed/>
    <w:qFormat/>
    <w:uiPriority w:val="99"/>
    <w:pPr>
      <w:jc w:val="left"/>
    </w:pPr>
  </w:style>
  <w:style w:type="paragraph" w:styleId="6">
    <w:name w:val="Body Text"/>
    <w:basedOn w:val="1"/>
    <w:link w:val="28"/>
    <w:qFormat/>
    <w:uiPriority w:val="0"/>
    <w:pPr>
      <w:spacing w:after="120"/>
    </w:pPr>
  </w:style>
  <w:style w:type="paragraph" w:styleId="7">
    <w:name w:val="Date"/>
    <w:basedOn w:val="1"/>
    <w:next w:val="1"/>
    <w:link w:val="27"/>
    <w:semiHidden/>
    <w:unhideWhenUsed/>
    <w:qFormat/>
    <w:uiPriority w:val="99"/>
    <w:pPr>
      <w:ind w:left="100" w:leftChars="2500"/>
    </w:pPr>
  </w:style>
  <w:style w:type="paragraph" w:styleId="8">
    <w:name w:val="Balloon Text"/>
    <w:basedOn w:val="1"/>
    <w:link w:val="24"/>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locked/>
    <w:uiPriority w:val="0"/>
    <w:pPr>
      <w:tabs>
        <w:tab w:val="right" w:leader="dot" w:pos="9241"/>
      </w:tabs>
      <w:spacing w:before="78" w:beforeLines="25" w:after="78" w:afterLines="25"/>
      <w:ind w:firstLine="560" w:firstLineChars="200"/>
      <w:jc w:val="left"/>
    </w:pPr>
    <w:rPr>
      <w:rFonts w:ascii="宋体" w:hAnsi="宋体"/>
      <w:color w:val="000000"/>
      <w:sz w:val="28"/>
      <w:szCs w:val="2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rFonts w:cs="Times New Roman"/>
      <w:b/>
    </w:rPr>
  </w:style>
  <w:style w:type="character" w:customStyle="1" w:styleId="17">
    <w:name w:val="标题 1 字符"/>
    <w:link w:val="2"/>
    <w:qFormat/>
    <w:locked/>
    <w:uiPriority w:val="99"/>
    <w:rPr>
      <w:rFonts w:cs="Times New Roman"/>
      <w:b/>
      <w:kern w:val="1"/>
      <w:sz w:val="44"/>
      <w:lang w:eastAsia="ar-SA" w:bidi="ar-SA"/>
    </w:rPr>
  </w:style>
  <w:style w:type="character" w:customStyle="1" w:styleId="18">
    <w:name w:val="标题 3 字符"/>
    <w:link w:val="3"/>
    <w:qFormat/>
    <w:locked/>
    <w:uiPriority w:val="99"/>
    <w:rPr>
      <w:rFonts w:cs="Times New Roman"/>
      <w:b/>
      <w:kern w:val="21"/>
      <w:sz w:val="32"/>
      <w:lang w:eastAsia="ar-SA" w:bidi="ar-SA"/>
    </w:rPr>
  </w:style>
  <w:style w:type="paragraph" w:styleId="19">
    <w:name w:val="List Paragraph"/>
    <w:basedOn w:val="1"/>
    <w:qFormat/>
    <w:uiPriority w:val="99"/>
    <w:pPr>
      <w:suppressAutoHyphens/>
      <w:ind w:firstLine="420" w:firstLineChars="200"/>
    </w:pPr>
    <w:rPr>
      <w:kern w:val="21"/>
      <w:lang w:eastAsia="ar-SA"/>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1">
    <w:name w:val="段 Char"/>
    <w:link w:val="20"/>
    <w:qFormat/>
    <w:locked/>
    <w:uiPriority w:val="0"/>
    <w:rPr>
      <w:rFonts w:ascii="宋体" w:cs="Times New Roman"/>
      <w:sz w:val="21"/>
      <w:lang w:val="en-US" w:eastAsia="zh-CN" w:bidi="ar-SA"/>
    </w:rPr>
  </w:style>
  <w:style w:type="character" w:customStyle="1" w:styleId="22">
    <w:name w:val="页眉 字符"/>
    <w:link w:val="10"/>
    <w:qFormat/>
    <w:uiPriority w:val="99"/>
    <w:rPr>
      <w:sz w:val="18"/>
      <w:szCs w:val="18"/>
    </w:rPr>
  </w:style>
  <w:style w:type="character" w:customStyle="1" w:styleId="23">
    <w:name w:val="页脚 字符"/>
    <w:link w:val="9"/>
    <w:qFormat/>
    <w:uiPriority w:val="99"/>
    <w:rPr>
      <w:sz w:val="18"/>
      <w:szCs w:val="18"/>
    </w:rPr>
  </w:style>
  <w:style w:type="character" w:customStyle="1" w:styleId="24">
    <w:name w:val="批注框文本 字符"/>
    <w:link w:val="8"/>
    <w:semiHidden/>
    <w:qFormat/>
    <w:uiPriority w:val="99"/>
    <w:rPr>
      <w:kern w:val="2"/>
      <w:sz w:val="18"/>
      <w:szCs w:val="18"/>
    </w:rPr>
  </w:style>
  <w:style w:type="table" w:customStyle="1" w:styleId="25">
    <w:name w:val="浅色底纹1"/>
    <w:basedOn w:val="13"/>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6">
    <w:name w:val="浅色底纹2"/>
    <w:basedOn w:val="13"/>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7">
    <w:name w:val="日期 字符"/>
    <w:basedOn w:val="15"/>
    <w:link w:val="7"/>
    <w:semiHidden/>
    <w:qFormat/>
    <w:uiPriority w:val="99"/>
    <w:rPr>
      <w:kern w:val="2"/>
      <w:sz w:val="21"/>
      <w:szCs w:val="24"/>
    </w:rPr>
  </w:style>
  <w:style w:type="character" w:customStyle="1" w:styleId="28">
    <w:name w:val="正文文本 字符"/>
    <w:basedOn w:val="15"/>
    <w:link w:val="6"/>
    <w:qFormat/>
    <w:uiPriority w:val="0"/>
    <w:rPr>
      <w:kern w:val="2"/>
      <w:sz w:val="21"/>
      <w:szCs w:val="24"/>
    </w:rPr>
  </w:style>
  <w:style w:type="paragraph" w:customStyle="1" w:styleId="29">
    <w:name w:val="标准文件_段"/>
    <w:link w:val="3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0">
    <w:name w:val="标准文件_段 Char"/>
    <w:link w:val="29"/>
    <w:qFormat/>
    <w:uiPriority w:val="0"/>
    <w:rPr>
      <w:rFonts w:ascii="宋体"/>
      <w:sz w:val="21"/>
    </w:rPr>
  </w:style>
  <w:style w:type="paragraph" w:customStyle="1" w:styleId="31">
    <w:name w:val="一级条标题"/>
    <w:next w:val="20"/>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2">
    <w:name w:val="二级条标题"/>
    <w:basedOn w:val="31"/>
    <w:next w:val="20"/>
    <w:qFormat/>
    <w:uiPriority w:val="0"/>
    <w:pPr>
      <w:numPr>
        <w:ilvl w:val="2"/>
      </w:numPr>
      <w:spacing w:before="50" w:after="50"/>
      <w:outlineLvl w:val="3"/>
    </w:pPr>
  </w:style>
  <w:style w:type="paragraph" w:customStyle="1" w:styleId="33">
    <w:name w:val="附录表标题"/>
    <w:basedOn w:val="1"/>
    <w:next w:val="20"/>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848</Words>
  <Characters>4840</Characters>
  <Lines>40</Lines>
  <Paragraphs>11</Paragraphs>
  <TotalTime>0</TotalTime>
  <ScaleCrop>false</ScaleCrop>
  <LinksUpToDate>false</LinksUpToDate>
  <CharactersWithSpaces>5677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2024-07-09T17:39:13Z</dcterms:modified>
  <cp:revision>542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5584375A01604CE3AF4FFB29389ACF07_13</vt:lpwstr>
  </property>
</Properties>
</file>